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B5432F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B5432F">
        <w:rPr>
          <w:spacing w:val="2"/>
        </w:rPr>
        <w:t>10</w:t>
      </w: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1134"/>
        <w:gridCol w:w="2737"/>
        <w:gridCol w:w="4958"/>
        <w:gridCol w:w="1377"/>
        <w:gridCol w:w="992"/>
        <w:gridCol w:w="1317"/>
        <w:gridCol w:w="2227"/>
      </w:tblGrid>
      <w:tr w:rsidR="00AC1808" w:rsidRPr="008734A6" w:rsidTr="00D629E8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8734A6" w:rsidRDefault="00AC1808" w:rsidP="00D629E8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734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36488" w:rsidRPr="008734A6" w:rsidRDefault="00F36488" w:rsidP="00D629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 искусственный 52/54, 10 кг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Воск искусственный с низкой температурой плавления для рутинной работы. Смесь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парафинного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воска  для изготовления парафиновых блоков с точкой плавления при t 52/54 °C. Для обработки различных образцов широкого спектра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Нижняя точка плавления делает его пригодным для работы с мягкими тканями, не деформируя и без повреждений, позволяет хорошо сохранять  ткани морфологии во время обработки. Смесь парафиновых гранул 52/54 является оптимальной смесью парафинового воска и пластмассовых полимеров без добавления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диметилсульфоксида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(ДМСО). Фасовка 10 кг.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4 000,00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1 200 000,00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Гистологические кассеты с неустановленными крышками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sz w:val="20"/>
                <w:szCs w:val="20"/>
              </w:rPr>
              <w:t xml:space="preserve">Гистологические кассеты с прямоугольными отверстиями с крышкой, белого цвета, Предназначены для проводки гистологического материала, размер отверстий в кассете составляет 0,9 мм., поставляются в комплекте с двухстороннем скребком с одним тупоконечным концом/другой остроконечный: длина 130 мм, длина рукоятки скребка 80 мм, выполненным из термоустойчивого материала. 500 </w:t>
            </w:r>
            <w:proofErr w:type="spellStart"/>
            <w:proofErr w:type="gramStart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14 560,00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14 560,00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Гистологические  кассеты с прямоугольными отверстиями с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крышкой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раж.цвета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sz w:val="20"/>
                <w:szCs w:val="20"/>
              </w:rPr>
              <w:t xml:space="preserve">Гистологические кассеты с прямоугольными отверстиями с крышкой, оранжевого цвета, 500 </w:t>
            </w:r>
            <w:proofErr w:type="spellStart"/>
            <w:proofErr w:type="gramStart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Предназначены для проводки гистологического материала, размер отверстий в кассете составляет 0,9 мм., поставляются в комплекте с двухстороннем скребком с одним тупоконечным концом/другой остроконечный: длина 130 мм, длина рукоятки скребка </w:t>
            </w:r>
            <w:r w:rsidRPr="0087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80 мм, выполненным из термоустойчивого материала. 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14 560,00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582 400,00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Держатель из нержавеющей стали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Держатель из нержавеющей стали на 30 предметных стекол. 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сосудов на 30 стекол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4 000,00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4 000,00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Заливочные формы из нержавеющей стали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Заливочные формы из нержавеющей стали 37*24*9 мм для заливки гистологического материала в парафин. 10 </w:t>
            </w:r>
            <w:proofErr w:type="spellStart"/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8 000,00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40 000,00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окраски по Ван-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Гизону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выявления коллагеновых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волокн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железным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гематоксилином+пикриновая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кислота+кислый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фуксин 3*100 мл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состав препарата входят три различных красителя: железный гематоксилин по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Вейгерту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окрашивания ядер, пикриновая кислота для цитоплазмы,  кислый фуксин для коллагена. </w:t>
            </w: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 набора:</w:t>
            </w: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Гематоксилин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Вейгерта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- 100 мл</w:t>
            </w: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Гематоксилин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Вейгерта</w:t>
            </w:r>
            <w:proofErr w:type="spellEnd"/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- 100 мл</w:t>
            </w: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Пикрофуксин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Ван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Гизону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- 100 мл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46 000,00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138 000,00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Одноразовые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микротомные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лезвия №50 в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редназначены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рутинных срезов и твердых образцов.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Одноразовые низкопрофильные лезвия, сверхтонкие, долговечные, отличаются высокой производительностью резки. Тип инструмента: одноразовый, низкопрофильный. Назначение: для изготовления ленточных срезов из всех типов тканей. </w:t>
            </w:r>
            <w:r w:rsidRPr="008734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Материал: нержавеющая углеродистая сталь, обработанная ионной очисткой и покрытая эксклюзивным запатентованным PTFE пленочным покрытием, уменьшающим трение и сжатие ткани.  Покрытие PTFE придает лезвию твердость и долговечность. Класс стали: не ниже 13Х. Возможность использования на ротационных и санных микротомах. Возможность изготовления срезов от 1 микрона. Количество блоков, с которых можно сделать срезы: не менее 30 шт. Угол заточки, градусов: 30°. Длина лезвия: 80 мм. Толщина: 0,25 мм.  Благодаря меньшему углу 30°, эти лезвия обеспечивают превосходную остроту для тонких срезов. Упаковка: </w:t>
            </w:r>
            <w:proofErr w:type="gramStart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>ручной</w:t>
            </w:r>
            <w:proofErr w:type="gramEnd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 xml:space="preserve"> диспенсер из АБС-пластика с приспособлением для безопасного поштучного извлечения и отсеком для отработанных лезвий. Количество лезвий в упаковке, шт.: не менее 50. Держатель для одноразовых лезвий оснащен уникальным сдвижным механизмом зажима, выполнен из нержавеющей стали. Наклон лезвия 135 º.Длина держателя: 9 см. Ширина держателя: 0,11 см (11 мм)</w:t>
            </w:r>
            <w:proofErr w:type="gramStart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proofErr w:type="gramEnd"/>
            <w:r w:rsidRPr="008734A6">
              <w:rPr>
                <w:rFonts w:ascii="Times New Roman" w:hAnsi="Times New Roman" w:cs="Times New Roman"/>
                <w:sz w:val="20"/>
                <w:szCs w:val="20"/>
              </w:rPr>
              <w:t xml:space="preserve">Высота держателя: 0,01 см (1 мм) - 1 шт.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29 700,00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891 000,00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О-ксилол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литр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Ортоксилол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Прозрачная жидкость, не содержащая в своем составе посторонних примесей и воды, не темнее раствора 0,003 г К2Cr2О7, Плотность при 20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°С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г/см3  0,878-0,880, Температурные пределы перегонки от 5 до 95%, °С, не более 0,4, Температура кристаллизации, °С, не ниже минус 25,5, Содержание основного вещества, %, не менее 99,2; бромное число, 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брома на 100 мл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ортоксилола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более  2706.11, норма по ТУ 0,18, фактическое значение менее 0,01.Первичный контейнер: белая бутылка в полиэтилентерефталате (ПЭТ). Полезная вместимость 5000 мл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7 500,00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112 500,00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для заключения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маунт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НМ  флакон 500 мл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Синтетическая монтирующая среда для приготовления гистологических и цитологических препаратов, флакон на 500 мл с 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дозатором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выполненным из плексигласа,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обеспещивающий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забор монтирующей среды до 1 мл. Цвет – прозрачный. Растворимость – в воде 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нерастворим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растворяется в эфире, кетонах, ароматических углеводородах и D-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лимонене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Коэффициент преломления - 1.5.  Динамическая вязкость - 250 при 450 мПа* и  20°C. Препарат отличается стабильностью при воздействии прямых солнечных лучей, высоких температур, влажности и 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УФ-лучей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20 000,00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600 000,00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Биопсийные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кассеты с квадратным отверстиями разм.0,4 мм, с крышкой № 500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Биопсийные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кассеты с квадратным отверстиями разм.0,4 мм, с крышкой №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2 000,00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2 000,00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диагностических реагентов для количественного определения</w:t>
            </w: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тиреотропного гормона ТТГ в образцах крови в составе, 960определений с бланками на анализатор DELFIA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</w:t>
            </w:r>
            <w:proofErr w:type="spellEnd"/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Наборы для определения тиреотропного гормона в сухих пятнах крови новорожденных для проведения неонатального скрининга на врожденный гипотиреоз диаметром 3.2мм с использованием для закрытого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анализатора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онтроли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фильтровальных бланках (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Whatman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903), 2 уровня: 15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мкЕд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/мл (отрицательный) и 60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мкЕд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/мл (положительный) – в наличие. Состав набора: Стандарты, контроли, меченые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proofErr w:type="spellEnd"/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антитела к тиреотропному гормону, буфер для инкубации, промывочный реагент, усиливающий реагент,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микротитровальные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планшеты (12 шт.), </w:t>
            </w: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покрытые антителами к тиреотропному гормону, сертификат контроля качества  - в наличие. На 960 определений по сухим пятнам крови – в наличие.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1 079 490,00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4 317 960,00   </w:t>
            </w:r>
          </w:p>
        </w:tc>
      </w:tr>
      <w:tr w:rsidR="008734A6" w:rsidRPr="008734A6" w:rsidTr="00D629E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проведения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пренатального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скрининга в сухих пятнах крови в 1 триместре беременности                  (двойной тест для определения плацентарного протеина, связанного с беременностью (ПАПП-А) и бет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субъединицы хорионического гонадотропина (бета- ХГЧ) на анализаторе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AutoDELFIA</w:t>
            </w:r>
            <w:proofErr w:type="spellEnd"/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Набор для количественного определения PAPP-A (Ассоциированного с беременностью протеин</w:t>
            </w:r>
            <w:proofErr w:type="gram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плазмы человека) и свободной бета-субъединицы хорионического гонадотропина человека (свободная бета-ХГЧ) в материнской крови, высушенной на фильтровальной бумаге, для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пренатального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скрининга беременных на хромосомную патологию плода в первом триместре беременности с использованием на закрытом анализаторе. Применяются совместно с программами вычисления степени риска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Life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Cycle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(TM).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Метод –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иммунофлюоресценция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разрешением по времени на основе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лантанидных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(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Eu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Sm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 меток – в наличие.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Длины волн измерения - 340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(возбуждение) и 615/640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(испускание) - в наличие.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Измерение флюоресценции на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микропланшетах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(96 лунок) - в наличие.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Концентрационный диапазон измерения: для PAPP-A = 0-22 </w:t>
            </w:r>
            <w:proofErr w:type="spellStart"/>
            <w:proofErr w:type="gram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/л, для свободной бета-субъединицы ХГЧ = 0-500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/мл – в наличие.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Стандарты на фильтровальных бланках (Ватман № 903), не менее 6 уровней, откалиброванные по второму стандарту ВОЗ № 80/558 – в наличие.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Контроли на фильтровальных бланках (Ватман № 903), 3 уровня – в наличие.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Процент разброса в параллелях (CV%) для стандартов и контролей не более 10% по каждому из маркеров – в наличие.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Аналитическая чувствительность – менее чем 0.1 </w:t>
            </w:r>
            <w:proofErr w:type="spellStart"/>
            <w:proofErr w:type="gram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/л для ПАПП-А и менее чем 8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/мл для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св.бета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ХГЧ – в наличие.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Воспроизводимость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не менее 98% в пределах срока годности – в наличие. 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Состав набора: Стандарты (1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.), контроли (1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.), меченые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Еu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антитела к PAPP-A (5фл), меченые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Sm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антитела к ХГЧ (5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.), буфер для инкубации (5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.),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микротитровальные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планшеты (5 шт.), покрытые антителами к PAPP-A и к свободной бета-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субъединицы ХГЧ, сертификат контроля качества – в наличие</w:t>
            </w:r>
            <w:proofErr w:type="gram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 480 определений по сухим пятнам крови -  в наличие.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Маркировка  CE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marked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- в наличие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1 954 720,00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1 954 720,00   </w:t>
            </w:r>
          </w:p>
        </w:tc>
      </w:tr>
      <w:tr w:rsidR="008734A6" w:rsidRPr="008734A6" w:rsidTr="00F35F19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Фильтровальные бланки для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пренатального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скрининга (1000 штук/упаковка)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A6" w:rsidRPr="008734A6" w:rsidRDefault="008734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TFN производится из 100% чистого хлопкового очеса без добавок для усиления прочности во влажном состоянии. Состав бумаги может влиять на стабильность собранного образца.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Мунктелл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полностью контролирует производственный процесс, чтобы гарантировать постоянство состава, равномерную толщину, скорость фильтрации, чистоту и поглощающую способность, обеспечивая высокое качество. Фильтровальные бланки для взятия крови беременных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prenatal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DBS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cards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1уп./1000 бланков.  Фильтровальные тест – бланки на основе фильтровальной бумаги S&amp;S 903, изготовленной из 100% хлопка. Внешний вид – форма прямоугольника, размером 70х120 мм, с текстом инструкции по взятию крови, тремя кружками для взятия крови. Плотность – 186.3 (160-195) г/м. Толщина – 0.531 (0.46 – 0.58) мм. Объем сыворотки – 1.54 (1.37 – 1.71)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диск размером 3.2 мм. Время адсорбции сыворотки – 5.7 (5 - 30) сек. Диаметр пятна при нанесении 100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сыворотки – 16 (15 – 17) мм. Фасовка – 1000 штук/упаковка. Условия хранения – 8 +25 С. Срок годности – 2 года 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производства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340,00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340 000,00   </w:t>
            </w:r>
          </w:p>
        </w:tc>
      </w:tr>
      <w:tr w:rsidR="008734A6" w:rsidRPr="008734A6" w:rsidTr="00D629E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фенилаланина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сухих пятнах крови новорожденных для проведения неонатального скрининга на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фенилкетонурию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НеоФКУ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на анализатор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DELFIAVictor</w:t>
            </w:r>
            <w:proofErr w:type="spellEnd"/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Наборы для количественного определения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фенилаланина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образцах крови ФКУ на 960 определении с использованием для закрытого анализатора. Применяются совместно с программами вычисления степени риска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Life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Cycle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(TM). Контроли на фильтровальных бланках (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Whatman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№903), 2 уровня: 15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мкЕд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/мл (отрицательный) и 60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мкЕд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/мл (положительный) – в наличие. Состав набора:  </w:t>
            </w:r>
            <w:proofErr w:type="spellStart"/>
            <w:proofErr w:type="gram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Фенилаланин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стандарты 0,5; 1,5; 2,5; 10,5; 20,5 мг/дл. 6 полосок по 4 пятна на каждой концентрации, 4 упаковки;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Фенилаланин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контроли с низким и высоким содержанием, 2 полоски по 4 пятна каждой концентрации, 4 упаковки; Буферный раствор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5.8 2 флакона; L –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лейцил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-L-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аланин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 флакона;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Нингидрин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 </w:t>
            </w: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флакона; медный реактив 2 флакона - в наличие.  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985 770,00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3 943 080,00   </w:t>
            </w:r>
          </w:p>
        </w:tc>
      </w:tr>
      <w:tr w:rsidR="008734A6" w:rsidRPr="008734A6" w:rsidTr="00D629E8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на FISH пробу </w:t>
            </w:r>
            <w:proofErr w:type="spell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AneuVysion</w:t>
            </w:r>
            <w:proofErr w:type="spell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(5-ти цветная смесь ДНК-зондов на хромосомы 13,18,21,Х</w:t>
            </w:r>
            <w:proofErr w:type="gramStart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gramEnd"/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30 зондов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Набор на FISH пробу </w:t>
            </w:r>
            <w:proofErr w:type="spell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AneuVysion</w:t>
            </w:r>
            <w:proofErr w:type="spell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(5-ти цветная смесь ДНК-зондов на хромосомы 13,18,21,Х</w:t>
            </w:r>
            <w:proofErr w:type="gramStart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Y</w:t>
            </w:r>
            <w:proofErr w:type="gramEnd"/>
            <w:r w:rsidRPr="008734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 30 зондов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3 210 000,00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A6" w:rsidRPr="008734A6" w:rsidRDefault="00873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6 420 000,00   </w:t>
            </w:r>
            <w:bookmarkStart w:id="0" w:name="_GoBack"/>
            <w:bookmarkEnd w:id="0"/>
          </w:p>
        </w:tc>
      </w:tr>
      <w:tr w:rsidR="00AC1808" w:rsidRPr="008734A6" w:rsidTr="00D629E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8734A6" w:rsidRDefault="00F36488" w:rsidP="00D62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8734A6" w:rsidRDefault="00B5432F" w:rsidP="00D629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3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20 560 220,00</w:t>
            </w:r>
          </w:p>
        </w:tc>
      </w:tr>
    </w:tbl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</w:t>
      </w:r>
      <w:r w:rsidR="009D54F3" w:rsidRPr="00D4348C">
        <w:rPr>
          <w:rStyle w:val="s0"/>
          <w:color w:val="auto"/>
          <w:sz w:val="24"/>
          <w:szCs w:val="24"/>
        </w:rPr>
        <w:lastRenderedPageBreak/>
        <w:t>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AC1808">
      <w:pgSz w:w="16838" w:h="11906" w:orient="landscape"/>
      <w:pgMar w:top="566" w:right="678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EE" w:rsidRDefault="00B24EEE" w:rsidP="0082634C">
      <w:pPr>
        <w:spacing w:after="0" w:line="240" w:lineRule="auto"/>
      </w:pPr>
      <w:r>
        <w:separator/>
      </w:r>
    </w:p>
  </w:endnote>
  <w:endnote w:type="continuationSeparator" w:id="0">
    <w:p w:rsidR="00B24EEE" w:rsidRDefault="00B24EE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EE" w:rsidRDefault="00B24EEE" w:rsidP="0082634C">
      <w:pPr>
        <w:spacing w:after="0" w:line="240" w:lineRule="auto"/>
      </w:pPr>
      <w:r>
        <w:separator/>
      </w:r>
    </w:p>
  </w:footnote>
  <w:footnote w:type="continuationSeparator" w:id="0">
    <w:p w:rsidR="00B24EEE" w:rsidRDefault="00B24EE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341"/>
    <w:rsid w:val="00044963"/>
    <w:rsid w:val="000450CB"/>
    <w:rsid w:val="00045681"/>
    <w:rsid w:val="00047F6C"/>
    <w:rsid w:val="00053CF9"/>
    <w:rsid w:val="00060276"/>
    <w:rsid w:val="00062A63"/>
    <w:rsid w:val="0006415E"/>
    <w:rsid w:val="0006600F"/>
    <w:rsid w:val="0007163E"/>
    <w:rsid w:val="0007221D"/>
    <w:rsid w:val="00076867"/>
    <w:rsid w:val="00083CA7"/>
    <w:rsid w:val="00083DE0"/>
    <w:rsid w:val="000859B0"/>
    <w:rsid w:val="00086FD6"/>
    <w:rsid w:val="00087B1E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4740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462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34A6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1808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4EEE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32F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00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D5A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55F82"/>
    <w:rsid w:val="00D603F5"/>
    <w:rsid w:val="00D629E8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6AB8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E6EC-40DF-462E-8C55-EA9FC1B2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288</cp:revision>
  <dcterms:created xsi:type="dcterms:W3CDTF">2022-11-02T08:53:00Z</dcterms:created>
  <dcterms:modified xsi:type="dcterms:W3CDTF">2023-02-09T04:41:00Z</dcterms:modified>
</cp:coreProperties>
</file>