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67087C"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№3</w:t>
      </w:r>
      <w:r>
        <w:rPr>
          <w:spacing w:val="2"/>
          <w:lang w:val="kk-KZ"/>
        </w:rPr>
        <w:t>1</w:t>
      </w:r>
      <w:r w:rsidR="00451AD7" w:rsidRPr="00E612BC">
        <w:rPr>
          <w:spacing w:val="2"/>
        </w:rPr>
        <w:t xml:space="preserve"> </w:t>
      </w:r>
      <w:proofErr w:type="spellStart"/>
      <w:r w:rsidR="00451AD7" w:rsidRPr="00E612BC">
        <w:rPr>
          <w:spacing w:val="2"/>
        </w:rPr>
        <w:t>баға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008C2CD4" w:rsidRPr="008C2CD4">
        <w:rPr>
          <w:spacing w:val="2"/>
        </w:rPr>
        <w:t>дә</w:t>
      </w:r>
      <w:proofErr w:type="gramStart"/>
      <w:r w:rsidR="008C2CD4" w:rsidRPr="008C2CD4">
        <w:rPr>
          <w:spacing w:val="2"/>
        </w:rPr>
        <w:t>р</w:t>
      </w:r>
      <w:proofErr w:type="gramEnd"/>
      <w:r w:rsidR="008C2CD4" w:rsidRPr="008C2CD4">
        <w:rPr>
          <w:spacing w:val="2"/>
        </w:rPr>
        <w:t>і</w:t>
      </w:r>
      <w:proofErr w:type="spellEnd"/>
      <w:r w:rsidR="008C2CD4" w:rsidRPr="008C2CD4">
        <w:rPr>
          <w:spacing w:val="2"/>
        </w:rPr>
        <w:t xml:space="preserve"> </w:t>
      </w:r>
      <w:proofErr w:type="spellStart"/>
      <w:r w:rsidR="008C2CD4" w:rsidRPr="008C2CD4">
        <w:rPr>
          <w:spacing w:val="2"/>
        </w:rPr>
        <w:t>дәрмек</w:t>
      </w:r>
      <w:proofErr w:type="spellEnd"/>
      <w:r w:rsidR="008C2CD4" w:rsidRPr="008C2CD4">
        <w:rPr>
          <w:spacing w:val="2"/>
        </w:rPr>
        <w:t xml:space="preserve"> </w:t>
      </w:r>
      <w:proofErr w:type="spellStart"/>
      <w:r w:rsidR="008C2CD4" w:rsidRPr="008C2CD4">
        <w:rPr>
          <w:spacing w:val="2"/>
        </w:rPr>
        <w:t>және</w:t>
      </w:r>
      <w:proofErr w:type="spellEnd"/>
      <w:r w:rsidR="008C2CD4" w:rsidRPr="008C2CD4">
        <w:rPr>
          <w:spacing w:val="2"/>
        </w:rPr>
        <w:t xml:space="preserve"> </w:t>
      </w:r>
      <w:proofErr w:type="spellStart"/>
      <w:r w:rsidR="008C2CD4" w:rsidRPr="008C2CD4">
        <w:rPr>
          <w:spacing w:val="2"/>
        </w:rPr>
        <w:t>медициналық</w:t>
      </w:r>
      <w:proofErr w:type="spellEnd"/>
      <w:r w:rsidR="008C2CD4" w:rsidRPr="008C2CD4">
        <w:rPr>
          <w:spacing w:val="2"/>
        </w:rPr>
        <w:t xml:space="preserve"> </w:t>
      </w:r>
      <w:proofErr w:type="spellStart"/>
      <w:r w:rsidR="008C2CD4" w:rsidRPr="008C2CD4">
        <w:rPr>
          <w:spacing w:val="2"/>
        </w:rPr>
        <w:t>бұйымдарды</w:t>
      </w:r>
      <w:proofErr w:type="spellEnd"/>
      <w:r w:rsidR="008C2CD4" w:rsidRPr="008C2CD4">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Pr>
          <w:spacing w:val="2"/>
          <w:lang w:val="kk-KZ"/>
        </w:rPr>
        <w:t xml:space="preserve">                       </w:t>
      </w:r>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F45DAF" w:rsidRDefault="00155DDC" w:rsidP="008C2CD4">
      <w:pPr>
        <w:pStyle w:val="a3"/>
        <w:shd w:val="clear" w:color="auto" w:fill="FFFFFF"/>
        <w:tabs>
          <w:tab w:val="left" w:pos="12474"/>
        </w:tabs>
        <w:spacing w:before="0" w:beforeAutospacing="0" w:after="0" w:afterAutospacing="0"/>
        <w:ind w:left="11057"/>
        <w:jc w:val="both"/>
        <w:textAlignment w:val="baseline"/>
        <w:rPr>
          <w:spacing w:val="2"/>
          <w:lang w:val="kk-KZ"/>
        </w:rPr>
      </w:pPr>
      <w:r w:rsidRPr="00E612BC">
        <w:rPr>
          <w:spacing w:val="2"/>
        </w:rPr>
        <w:t>Приложение 1 к объявлению о проведении закупа</w:t>
      </w:r>
      <w:r w:rsidR="008C2CD4">
        <w:rPr>
          <w:spacing w:val="2"/>
        </w:rPr>
        <w:t xml:space="preserve"> </w:t>
      </w:r>
      <w:r w:rsidR="008C2CD4" w:rsidRPr="008C2CD4">
        <w:rPr>
          <w:spacing w:val="2"/>
        </w:rPr>
        <w:t>лекарственных средств и медицинских изделий</w:t>
      </w:r>
      <w:r w:rsidRPr="00E612BC">
        <w:rPr>
          <w:spacing w:val="2"/>
        </w:rPr>
        <w:t xml:space="preserve"> способом</w:t>
      </w:r>
      <w:r w:rsidR="00183DF4" w:rsidRPr="00E612BC">
        <w:rPr>
          <w:spacing w:val="2"/>
        </w:rPr>
        <w:t xml:space="preserve"> запроса ценовых предложений №</w:t>
      </w:r>
      <w:r w:rsidR="0067087C">
        <w:rPr>
          <w:spacing w:val="2"/>
          <w:lang w:val="kk-KZ"/>
        </w:rPr>
        <w:t>31</w:t>
      </w:r>
    </w:p>
    <w:p w:rsidR="00451AD7" w:rsidRPr="00E612BC" w:rsidRDefault="00451AD7" w:rsidP="00683718">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683718">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FA5C4D" w:rsidRPr="00E612BC"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tbl>
      <w:tblPr>
        <w:tblpPr w:leftFromText="180" w:rightFromText="180" w:vertAnchor="text" w:tblpY="1"/>
        <w:tblOverlap w:val="never"/>
        <w:tblW w:w="15432" w:type="dxa"/>
        <w:tblInd w:w="93" w:type="dxa"/>
        <w:tblLayout w:type="fixed"/>
        <w:tblLook w:val="04A0" w:firstRow="1" w:lastRow="0" w:firstColumn="1" w:lastColumn="0" w:noHBand="0" w:noVBand="1"/>
      </w:tblPr>
      <w:tblGrid>
        <w:gridCol w:w="866"/>
        <w:gridCol w:w="3118"/>
        <w:gridCol w:w="5494"/>
        <w:gridCol w:w="1418"/>
        <w:gridCol w:w="1134"/>
        <w:gridCol w:w="1701"/>
        <w:gridCol w:w="1701"/>
      </w:tblGrid>
      <w:tr w:rsidR="00134387" w:rsidRPr="00715CE7" w:rsidTr="008E1F0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715CE7"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715CE7">
              <w:rPr>
                <w:rFonts w:ascii="Times New Roman" w:eastAsia="Times New Roman" w:hAnsi="Times New Roman" w:cs="Times New Roman"/>
                <w:b/>
                <w:color w:val="000000"/>
                <w:sz w:val="20"/>
                <w:szCs w:val="20"/>
                <w:lang w:eastAsia="ru-RU"/>
              </w:rPr>
              <w:t>№ лота</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134387" w:rsidRPr="00715CE7"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715CE7">
              <w:rPr>
                <w:rFonts w:ascii="Times New Roman" w:eastAsia="Times New Roman" w:hAnsi="Times New Roman" w:cs="Times New Roman"/>
                <w:b/>
                <w:color w:val="000000"/>
                <w:sz w:val="20"/>
                <w:szCs w:val="20"/>
                <w:lang w:eastAsia="ru-RU"/>
              </w:rPr>
              <w:t>Наименование</w:t>
            </w:r>
            <w:r w:rsidR="00451AD7" w:rsidRPr="00715CE7">
              <w:rPr>
                <w:rFonts w:ascii="Times New Roman" w:eastAsia="Times New Roman" w:hAnsi="Times New Roman" w:cs="Times New Roman"/>
                <w:b/>
                <w:color w:val="000000"/>
                <w:sz w:val="20"/>
                <w:szCs w:val="20"/>
                <w:lang w:eastAsia="ru-RU"/>
              </w:rPr>
              <w:t xml:space="preserve"> / </w:t>
            </w:r>
            <w:proofErr w:type="spellStart"/>
            <w:r w:rsidR="00451AD7" w:rsidRPr="00715CE7">
              <w:rPr>
                <w:rFonts w:ascii="Times New Roman" w:eastAsia="Times New Roman" w:hAnsi="Times New Roman" w:cs="Times New Roman"/>
                <w:b/>
                <w:color w:val="000000"/>
                <w:sz w:val="20"/>
                <w:szCs w:val="20"/>
                <w:lang w:eastAsia="ru-RU"/>
              </w:rPr>
              <w:t>Атауы</w:t>
            </w:r>
            <w:proofErr w:type="spellEnd"/>
          </w:p>
        </w:tc>
        <w:tc>
          <w:tcPr>
            <w:tcW w:w="5494" w:type="dxa"/>
            <w:tcBorders>
              <w:top w:val="single" w:sz="4" w:space="0" w:color="auto"/>
              <w:left w:val="nil"/>
              <w:bottom w:val="single" w:sz="4" w:space="0" w:color="auto"/>
              <w:right w:val="single" w:sz="4" w:space="0" w:color="auto"/>
            </w:tcBorders>
            <w:shd w:val="clear" w:color="000000" w:fill="FFFFFF"/>
            <w:vAlign w:val="center"/>
          </w:tcPr>
          <w:p w:rsidR="00134387" w:rsidRPr="00715CE7" w:rsidRDefault="00134387" w:rsidP="00911DEE">
            <w:pPr>
              <w:spacing w:after="0" w:line="240" w:lineRule="auto"/>
              <w:jc w:val="center"/>
              <w:rPr>
                <w:rFonts w:ascii="Times New Roman" w:eastAsia="Times New Roman" w:hAnsi="Times New Roman" w:cs="Times New Roman"/>
                <w:b/>
                <w:sz w:val="20"/>
                <w:szCs w:val="20"/>
                <w:lang w:eastAsia="ru-RU"/>
              </w:rPr>
            </w:pPr>
            <w:r w:rsidRPr="00715CE7">
              <w:rPr>
                <w:rFonts w:ascii="Times New Roman" w:eastAsia="Times New Roman" w:hAnsi="Times New Roman" w:cs="Times New Roman"/>
                <w:b/>
                <w:sz w:val="20"/>
                <w:szCs w:val="20"/>
                <w:lang w:eastAsia="ru-RU"/>
              </w:rPr>
              <w:t>Характеристика</w:t>
            </w:r>
            <w:r w:rsidR="00451AD7" w:rsidRPr="00715CE7">
              <w:rPr>
                <w:rFonts w:ascii="Times New Roman" w:eastAsia="Times New Roman" w:hAnsi="Times New Roman" w:cs="Times New Roman"/>
                <w:b/>
                <w:sz w:val="20"/>
                <w:szCs w:val="20"/>
                <w:lang w:eastAsia="ru-RU"/>
              </w:rPr>
              <w:t xml:space="preserve"> / </w:t>
            </w:r>
            <w:r w:rsidR="00451AD7" w:rsidRPr="00715CE7">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715CE7"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715CE7">
              <w:rPr>
                <w:rFonts w:ascii="Times New Roman" w:eastAsia="Times New Roman" w:hAnsi="Times New Roman" w:cs="Times New Roman"/>
                <w:b/>
                <w:color w:val="000000"/>
                <w:sz w:val="20"/>
                <w:szCs w:val="20"/>
                <w:lang w:eastAsia="ru-RU"/>
              </w:rPr>
              <w:t>Единица измерения</w:t>
            </w:r>
            <w:r w:rsidR="00451AD7" w:rsidRPr="00715CE7">
              <w:rPr>
                <w:rFonts w:ascii="Times New Roman" w:eastAsia="Times New Roman" w:hAnsi="Times New Roman" w:cs="Times New Roman"/>
                <w:b/>
                <w:color w:val="000000"/>
                <w:sz w:val="20"/>
                <w:szCs w:val="20"/>
                <w:lang w:eastAsia="ru-RU"/>
              </w:rPr>
              <w:t xml:space="preserve"> / </w:t>
            </w:r>
            <w:r w:rsidR="00451AD7" w:rsidRPr="00715CE7">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715CE7"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715CE7">
              <w:rPr>
                <w:rFonts w:ascii="Times New Roman" w:eastAsia="Times New Roman" w:hAnsi="Times New Roman" w:cs="Times New Roman"/>
                <w:b/>
                <w:color w:val="000000"/>
                <w:sz w:val="20"/>
                <w:szCs w:val="20"/>
                <w:lang w:eastAsia="ru-RU"/>
              </w:rPr>
              <w:t>Кол-во</w:t>
            </w:r>
            <w:r w:rsidR="00451AD7" w:rsidRPr="00715CE7">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715CE7"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715CE7">
              <w:rPr>
                <w:rFonts w:ascii="Times New Roman" w:eastAsia="Times New Roman" w:hAnsi="Times New Roman" w:cs="Times New Roman"/>
                <w:b/>
                <w:color w:val="000000"/>
                <w:sz w:val="20"/>
                <w:szCs w:val="20"/>
                <w:lang w:eastAsia="ru-RU"/>
              </w:rPr>
              <w:t>Цена</w:t>
            </w:r>
            <w:proofErr w:type="gramStart"/>
            <w:r w:rsidR="00451AD7" w:rsidRPr="00715CE7">
              <w:rPr>
                <w:rFonts w:ascii="Times New Roman" w:eastAsia="Times New Roman" w:hAnsi="Times New Roman" w:cs="Times New Roman"/>
                <w:b/>
                <w:color w:val="000000"/>
                <w:sz w:val="20"/>
                <w:szCs w:val="20"/>
                <w:lang w:eastAsia="ru-RU"/>
              </w:rPr>
              <w:t xml:space="preserve">/ </w:t>
            </w:r>
            <w:r w:rsidR="00451AD7" w:rsidRPr="00715CE7">
              <w:rPr>
                <w:rFonts w:ascii="Times New Roman" w:eastAsia="Times New Roman" w:hAnsi="Times New Roman" w:cs="Times New Roman"/>
                <w:b/>
                <w:bCs/>
                <w:color w:val="000000"/>
                <w:sz w:val="20"/>
                <w:szCs w:val="20"/>
                <w:lang w:val="kk-KZ" w:eastAsia="ru-RU"/>
              </w:rPr>
              <w:t xml:space="preserve"> Б</w:t>
            </w:r>
            <w:proofErr w:type="gramEnd"/>
            <w:r w:rsidR="00451AD7" w:rsidRPr="00715CE7">
              <w:rPr>
                <w:rFonts w:ascii="Times New Roman" w:eastAsia="Times New Roman" w:hAnsi="Times New Roman" w:cs="Times New Roman"/>
                <w:b/>
                <w:bCs/>
                <w:color w:val="000000"/>
                <w:sz w:val="20"/>
                <w:szCs w:val="20"/>
                <w:lang w:val="kk-KZ" w:eastAsia="ru-RU"/>
              </w:rPr>
              <w:t>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715CE7" w:rsidRDefault="00134387" w:rsidP="00911DEE">
            <w:pPr>
              <w:jc w:val="center"/>
              <w:rPr>
                <w:rFonts w:ascii="Times New Roman" w:eastAsia="Times New Roman" w:hAnsi="Times New Roman" w:cs="Times New Roman"/>
                <w:b/>
                <w:color w:val="000000"/>
                <w:sz w:val="20"/>
                <w:szCs w:val="20"/>
                <w:lang w:eastAsia="ru-RU"/>
              </w:rPr>
            </w:pPr>
            <w:r w:rsidRPr="00715CE7">
              <w:rPr>
                <w:rFonts w:ascii="Times New Roman" w:eastAsia="Times New Roman" w:hAnsi="Times New Roman" w:cs="Times New Roman"/>
                <w:b/>
                <w:color w:val="000000"/>
                <w:sz w:val="20"/>
                <w:szCs w:val="20"/>
                <w:lang w:eastAsia="ru-RU"/>
              </w:rPr>
              <w:t>Сумма, тенге</w:t>
            </w:r>
            <w:r w:rsidR="00451AD7" w:rsidRPr="00715CE7">
              <w:rPr>
                <w:rFonts w:ascii="Times New Roman" w:eastAsia="Times New Roman" w:hAnsi="Times New Roman" w:cs="Times New Roman"/>
                <w:b/>
                <w:color w:val="000000"/>
                <w:sz w:val="20"/>
                <w:szCs w:val="20"/>
                <w:lang w:eastAsia="ru-RU"/>
              </w:rPr>
              <w:t>/</w:t>
            </w:r>
            <w:r w:rsidR="00451AD7" w:rsidRPr="00715CE7">
              <w:rPr>
                <w:rFonts w:ascii="Times New Roman" w:eastAsia="Times New Roman" w:hAnsi="Times New Roman" w:cs="Times New Roman"/>
                <w:b/>
                <w:bCs/>
                <w:color w:val="000000"/>
                <w:sz w:val="20"/>
                <w:szCs w:val="20"/>
                <w:lang w:val="kk-KZ" w:eastAsia="ru-RU"/>
              </w:rPr>
              <w:t xml:space="preserve"> Сомасы, тенге</w:t>
            </w:r>
          </w:p>
        </w:tc>
      </w:tr>
      <w:tr w:rsidR="008E1F07" w:rsidRPr="00715CE7" w:rsidTr="008E1F0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1</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Катетер </w:t>
            </w:r>
            <w:proofErr w:type="spellStart"/>
            <w:r w:rsidRPr="008E1F07">
              <w:rPr>
                <w:rFonts w:ascii="Times New Roman" w:eastAsia="Times New Roman" w:hAnsi="Times New Roman" w:cs="Times New Roman"/>
                <w:color w:val="000000"/>
                <w:sz w:val="20"/>
                <w:szCs w:val="20"/>
                <w:lang w:eastAsia="ru-RU"/>
              </w:rPr>
              <w:t>Фолея</w:t>
            </w:r>
            <w:proofErr w:type="spellEnd"/>
            <w:r w:rsidRPr="008E1F07">
              <w:rPr>
                <w:rFonts w:ascii="Times New Roman" w:eastAsia="Times New Roman" w:hAnsi="Times New Roman" w:cs="Times New Roman"/>
                <w:color w:val="000000"/>
                <w:sz w:val="20"/>
                <w:szCs w:val="20"/>
                <w:lang w:eastAsia="ru-RU"/>
              </w:rPr>
              <w:t xml:space="preserve"> 2-х ходовой однократного применения стерильный, размерами: 6 FR/CH</w:t>
            </w:r>
          </w:p>
        </w:tc>
        <w:tc>
          <w:tcPr>
            <w:tcW w:w="549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Катетер </w:t>
            </w:r>
            <w:proofErr w:type="spellStart"/>
            <w:r w:rsidRPr="008E1F07">
              <w:rPr>
                <w:rFonts w:ascii="Times New Roman" w:eastAsia="Times New Roman" w:hAnsi="Times New Roman" w:cs="Times New Roman"/>
                <w:color w:val="000000"/>
                <w:sz w:val="20"/>
                <w:szCs w:val="20"/>
                <w:lang w:eastAsia="ru-RU"/>
              </w:rPr>
              <w:t>Фолея</w:t>
            </w:r>
            <w:proofErr w:type="spellEnd"/>
            <w:r w:rsidRPr="008E1F07">
              <w:rPr>
                <w:rFonts w:ascii="Times New Roman" w:eastAsia="Times New Roman" w:hAnsi="Times New Roman" w:cs="Times New Roman"/>
                <w:color w:val="000000"/>
                <w:sz w:val="20"/>
                <w:szCs w:val="20"/>
                <w:lang w:eastAsia="ru-RU"/>
              </w:rPr>
              <w:t xml:space="preserve"> 2-х ходовой однократного применения стерильный, размер 6 FR/CH мо</w:t>
            </w:r>
            <w:bookmarkStart w:id="0" w:name="_GoBack"/>
            <w:bookmarkEnd w:id="0"/>
            <w:r w:rsidRPr="008E1F07">
              <w:rPr>
                <w:rFonts w:ascii="Times New Roman" w:eastAsia="Times New Roman" w:hAnsi="Times New Roman" w:cs="Times New Roman"/>
                <w:color w:val="000000"/>
                <w:sz w:val="20"/>
                <w:szCs w:val="20"/>
                <w:lang w:eastAsia="ru-RU"/>
              </w:rPr>
              <w:t>дификации: латексный с силиконовым покрытием; разновидность детский</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20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356,33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7 126,60    </w:t>
            </w:r>
          </w:p>
        </w:tc>
      </w:tr>
      <w:tr w:rsidR="008E1F07" w:rsidRPr="00715CE7" w:rsidTr="008E1F0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2</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Катетер </w:t>
            </w:r>
            <w:proofErr w:type="spellStart"/>
            <w:r w:rsidRPr="008E1F07">
              <w:rPr>
                <w:rFonts w:ascii="Times New Roman" w:eastAsia="Times New Roman" w:hAnsi="Times New Roman" w:cs="Times New Roman"/>
                <w:color w:val="000000"/>
                <w:sz w:val="20"/>
                <w:szCs w:val="20"/>
                <w:lang w:eastAsia="ru-RU"/>
              </w:rPr>
              <w:t>Фолея</w:t>
            </w:r>
            <w:proofErr w:type="spellEnd"/>
            <w:r w:rsidRPr="008E1F07">
              <w:rPr>
                <w:rFonts w:ascii="Times New Roman" w:eastAsia="Times New Roman" w:hAnsi="Times New Roman" w:cs="Times New Roman"/>
                <w:color w:val="000000"/>
                <w:sz w:val="20"/>
                <w:szCs w:val="20"/>
                <w:lang w:eastAsia="ru-RU"/>
              </w:rPr>
              <w:t xml:space="preserve"> 3-х ходовой однократного применения стерильный, размерами: 22 FR/CH</w:t>
            </w:r>
          </w:p>
        </w:tc>
        <w:tc>
          <w:tcPr>
            <w:tcW w:w="549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Катетер </w:t>
            </w:r>
            <w:proofErr w:type="spellStart"/>
            <w:r w:rsidRPr="008E1F07">
              <w:rPr>
                <w:rFonts w:ascii="Times New Roman" w:eastAsia="Times New Roman" w:hAnsi="Times New Roman" w:cs="Times New Roman"/>
                <w:color w:val="000000"/>
                <w:sz w:val="20"/>
                <w:szCs w:val="20"/>
                <w:lang w:eastAsia="ru-RU"/>
              </w:rPr>
              <w:t>Фолея</w:t>
            </w:r>
            <w:proofErr w:type="spellEnd"/>
            <w:r w:rsidRPr="008E1F07">
              <w:rPr>
                <w:rFonts w:ascii="Times New Roman" w:eastAsia="Times New Roman" w:hAnsi="Times New Roman" w:cs="Times New Roman"/>
                <w:color w:val="000000"/>
                <w:sz w:val="20"/>
                <w:szCs w:val="20"/>
                <w:lang w:eastAsia="ru-RU"/>
              </w:rPr>
              <w:t xml:space="preserve"> 3-х ходовой однократного применения стерильный, размер 22 FR/CH модификации: латексный с силиконовым покрытием; разновидность стандартный</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30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414,58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12 437,40    </w:t>
            </w:r>
          </w:p>
        </w:tc>
      </w:tr>
      <w:tr w:rsidR="008E1F07" w:rsidRPr="00715CE7" w:rsidTr="008E1F0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3</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Педиатрический набор для постановки ЦВК, одноканальный. 110</w:t>
            </w:r>
          </w:p>
        </w:tc>
        <w:tc>
          <w:tcPr>
            <w:tcW w:w="549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Пункционная игла тонкостенная, с овальным срезом, G21 (0.8x38мм), профилированный прозрачный павильон. Одноканальный катетер с несмываемой разметкой в </w:t>
            </w:r>
            <w:proofErr w:type="gramStart"/>
            <w:r w:rsidRPr="008E1F07">
              <w:rPr>
                <w:rFonts w:ascii="Times New Roman" w:eastAsia="Times New Roman" w:hAnsi="Times New Roman" w:cs="Times New Roman"/>
                <w:color w:val="000000"/>
                <w:sz w:val="20"/>
                <w:szCs w:val="20"/>
                <w:lang w:eastAsia="ru-RU"/>
              </w:rPr>
              <w:t>см</w:t>
            </w:r>
            <w:proofErr w:type="gramEnd"/>
            <w:r w:rsidRPr="008E1F07">
              <w:rPr>
                <w:rFonts w:ascii="Times New Roman" w:eastAsia="Times New Roman" w:hAnsi="Times New Roman" w:cs="Times New Roman"/>
                <w:color w:val="000000"/>
                <w:sz w:val="20"/>
                <w:szCs w:val="20"/>
                <w:lang w:eastAsia="ru-RU"/>
              </w:rPr>
              <w:t xml:space="preserve">, мягким </w:t>
            </w:r>
            <w:proofErr w:type="spellStart"/>
            <w:r w:rsidRPr="008E1F07">
              <w:rPr>
                <w:rFonts w:ascii="Times New Roman" w:eastAsia="Times New Roman" w:hAnsi="Times New Roman" w:cs="Times New Roman"/>
                <w:color w:val="000000"/>
                <w:sz w:val="20"/>
                <w:szCs w:val="20"/>
                <w:lang w:eastAsia="ru-RU"/>
              </w:rPr>
              <w:t>атравматичным</w:t>
            </w:r>
            <w:proofErr w:type="spellEnd"/>
            <w:r w:rsidRPr="008E1F07">
              <w:rPr>
                <w:rFonts w:ascii="Times New Roman" w:eastAsia="Times New Roman" w:hAnsi="Times New Roman" w:cs="Times New Roman"/>
                <w:color w:val="000000"/>
                <w:sz w:val="20"/>
                <w:szCs w:val="20"/>
                <w:lang w:eastAsia="ru-RU"/>
              </w:rPr>
              <w:t xml:space="preserve"> кончиком и соединителем </w:t>
            </w:r>
            <w:proofErr w:type="spellStart"/>
            <w:r w:rsidRPr="008E1F07">
              <w:rPr>
                <w:rFonts w:ascii="Times New Roman" w:eastAsia="Times New Roman" w:hAnsi="Times New Roman" w:cs="Times New Roman"/>
                <w:color w:val="000000"/>
                <w:sz w:val="20"/>
                <w:szCs w:val="20"/>
                <w:lang w:eastAsia="ru-RU"/>
              </w:rPr>
              <w:t>луэр-лок</w:t>
            </w:r>
            <w:proofErr w:type="spellEnd"/>
            <w:r w:rsidRPr="008E1F07">
              <w:rPr>
                <w:rFonts w:ascii="Times New Roman" w:eastAsia="Times New Roman" w:hAnsi="Times New Roman" w:cs="Times New Roman"/>
                <w:color w:val="000000"/>
                <w:sz w:val="20"/>
                <w:szCs w:val="20"/>
                <w:lang w:eastAsia="ru-RU"/>
              </w:rPr>
              <w:t xml:space="preserve">. Катетер термолабильный, </w:t>
            </w:r>
            <w:proofErr w:type="spellStart"/>
            <w:r w:rsidRPr="008E1F07">
              <w:rPr>
                <w:rFonts w:ascii="Times New Roman" w:eastAsia="Times New Roman" w:hAnsi="Times New Roman" w:cs="Times New Roman"/>
                <w:color w:val="000000"/>
                <w:sz w:val="20"/>
                <w:szCs w:val="20"/>
                <w:lang w:eastAsia="ru-RU"/>
              </w:rPr>
              <w:t>антитромбогенный</w:t>
            </w:r>
            <w:proofErr w:type="spellEnd"/>
            <w:r w:rsidRPr="008E1F07">
              <w:rPr>
                <w:rFonts w:ascii="Times New Roman" w:eastAsia="Times New Roman" w:hAnsi="Times New Roman" w:cs="Times New Roman"/>
                <w:color w:val="000000"/>
                <w:sz w:val="20"/>
                <w:szCs w:val="20"/>
                <w:lang w:eastAsia="ru-RU"/>
              </w:rPr>
              <w:t xml:space="preserve">, </w:t>
            </w:r>
            <w:proofErr w:type="spellStart"/>
            <w:r w:rsidRPr="008E1F07">
              <w:rPr>
                <w:rFonts w:ascii="Times New Roman" w:eastAsia="Times New Roman" w:hAnsi="Times New Roman" w:cs="Times New Roman"/>
                <w:color w:val="000000"/>
                <w:sz w:val="20"/>
                <w:szCs w:val="20"/>
                <w:lang w:eastAsia="ru-RU"/>
              </w:rPr>
              <w:t>Rg</w:t>
            </w:r>
            <w:proofErr w:type="spellEnd"/>
            <w:r w:rsidRPr="008E1F07">
              <w:rPr>
                <w:rFonts w:ascii="Times New Roman" w:eastAsia="Times New Roman" w:hAnsi="Times New Roman" w:cs="Times New Roman"/>
                <w:color w:val="000000"/>
                <w:sz w:val="20"/>
                <w:szCs w:val="20"/>
                <w:lang w:eastAsia="ru-RU"/>
              </w:rPr>
              <w:t xml:space="preserve">-контрастный из полиуретана, размерами G22/F3 (0,6 х 0,9мм х 10см), скорость потока 15мл/мин, встроенный </w:t>
            </w:r>
            <w:proofErr w:type="spellStart"/>
            <w:r w:rsidRPr="008E1F07">
              <w:rPr>
                <w:rFonts w:ascii="Times New Roman" w:eastAsia="Times New Roman" w:hAnsi="Times New Roman" w:cs="Times New Roman"/>
                <w:color w:val="000000"/>
                <w:sz w:val="20"/>
                <w:szCs w:val="20"/>
                <w:lang w:eastAsia="ru-RU"/>
              </w:rPr>
              <w:t>крыльчатый</w:t>
            </w:r>
            <w:proofErr w:type="spellEnd"/>
            <w:r w:rsidRPr="008E1F07">
              <w:rPr>
                <w:rFonts w:ascii="Times New Roman" w:eastAsia="Times New Roman" w:hAnsi="Times New Roman" w:cs="Times New Roman"/>
                <w:color w:val="000000"/>
                <w:sz w:val="20"/>
                <w:szCs w:val="20"/>
                <w:lang w:eastAsia="ru-RU"/>
              </w:rPr>
              <w:t xml:space="preserve"> </w:t>
            </w:r>
            <w:r w:rsidRPr="008E1F07">
              <w:rPr>
                <w:rFonts w:ascii="Times New Roman" w:eastAsia="Times New Roman" w:hAnsi="Times New Roman" w:cs="Times New Roman"/>
                <w:color w:val="000000"/>
                <w:sz w:val="20"/>
                <w:szCs w:val="20"/>
                <w:lang w:eastAsia="ru-RU"/>
              </w:rPr>
              <w:lastRenderedPageBreak/>
              <w:t xml:space="preserve">фиксатор для закрепления катетера. </w:t>
            </w:r>
            <w:proofErr w:type="spellStart"/>
            <w:proofErr w:type="gramStart"/>
            <w:r w:rsidRPr="008E1F07">
              <w:rPr>
                <w:rFonts w:ascii="Times New Roman" w:eastAsia="Times New Roman" w:hAnsi="Times New Roman" w:cs="Times New Roman"/>
                <w:color w:val="000000"/>
                <w:sz w:val="20"/>
                <w:szCs w:val="20"/>
                <w:lang w:eastAsia="ru-RU"/>
              </w:rPr>
              <w:t>Нитиноловый</w:t>
            </w:r>
            <w:proofErr w:type="spellEnd"/>
            <w:r w:rsidRPr="008E1F07">
              <w:rPr>
                <w:rFonts w:ascii="Times New Roman" w:eastAsia="Times New Roman" w:hAnsi="Times New Roman" w:cs="Times New Roman"/>
                <w:color w:val="000000"/>
                <w:sz w:val="20"/>
                <w:szCs w:val="20"/>
                <w:lang w:eastAsia="ru-RU"/>
              </w:rPr>
              <w:t xml:space="preserve"> проводник 0.46мм х 0.018 х 25см с гибким J-наконечником, </w:t>
            </w:r>
            <w:proofErr w:type="spellStart"/>
            <w:r w:rsidRPr="008E1F07">
              <w:rPr>
                <w:rFonts w:ascii="Times New Roman" w:eastAsia="Times New Roman" w:hAnsi="Times New Roman" w:cs="Times New Roman"/>
                <w:color w:val="000000"/>
                <w:sz w:val="20"/>
                <w:szCs w:val="20"/>
                <w:lang w:eastAsia="ru-RU"/>
              </w:rPr>
              <w:t>изгибоустойчивый</w:t>
            </w:r>
            <w:proofErr w:type="spellEnd"/>
            <w:r w:rsidRPr="008E1F07">
              <w:rPr>
                <w:rFonts w:ascii="Times New Roman" w:eastAsia="Times New Roman" w:hAnsi="Times New Roman" w:cs="Times New Roman"/>
                <w:color w:val="000000"/>
                <w:sz w:val="20"/>
                <w:szCs w:val="20"/>
                <w:lang w:eastAsia="ru-RU"/>
              </w:rPr>
              <w:t xml:space="preserve"> в эргономичном держателе, нестираемая разметка длины, с </w:t>
            </w:r>
            <w:proofErr w:type="spellStart"/>
            <w:r w:rsidRPr="008E1F07">
              <w:rPr>
                <w:rFonts w:ascii="Times New Roman" w:eastAsia="Times New Roman" w:hAnsi="Times New Roman" w:cs="Times New Roman"/>
                <w:color w:val="000000"/>
                <w:sz w:val="20"/>
                <w:szCs w:val="20"/>
                <w:lang w:eastAsia="ru-RU"/>
              </w:rPr>
              <w:t>направителем</w:t>
            </w:r>
            <w:proofErr w:type="spellEnd"/>
            <w:r w:rsidRPr="008E1F07">
              <w:rPr>
                <w:rFonts w:ascii="Times New Roman" w:eastAsia="Times New Roman" w:hAnsi="Times New Roman" w:cs="Times New Roman"/>
                <w:color w:val="000000"/>
                <w:sz w:val="20"/>
                <w:szCs w:val="20"/>
                <w:lang w:eastAsia="ru-RU"/>
              </w:rPr>
              <w:t>.</w:t>
            </w:r>
            <w:proofErr w:type="gramEnd"/>
            <w:r w:rsidRPr="008E1F07">
              <w:rPr>
                <w:rFonts w:ascii="Times New Roman" w:eastAsia="Times New Roman" w:hAnsi="Times New Roman" w:cs="Times New Roman"/>
                <w:color w:val="000000"/>
                <w:sz w:val="20"/>
                <w:szCs w:val="20"/>
                <w:lang w:eastAsia="ru-RU"/>
              </w:rPr>
              <w:t xml:space="preserve"> Прозрачная удлинительная линия с коннектором </w:t>
            </w:r>
            <w:proofErr w:type="spellStart"/>
            <w:r w:rsidRPr="008E1F07">
              <w:rPr>
                <w:rFonts w:ascii="Times New Roman" w:eastAsia="Times New Roman" w:hAnsi="Times New Roman" w:cs="Times New Roman"/>
                <w:color w:val="000000"/>
                <w:sz w:val="20"/>
                <w:szCs w:val="20"/>
                <w:lang w:eastAsia="ru-RU"/>
              </w:rPr>
              <w:t>луэр-лок</w:t>
            </w:r>
            <w:proofErr w:type="spellEnd"/>
            <w:r w:rsidRPr="008E1F07">
              <w:rPr>
                <w:rFonts w:ascii="Times New Roman" w:eastAsia="Times New Roman" w:hAnsi="Times New Roman" w:cs="Times New Roman"/>
                <w:color w:val="000000"/>
                <w:sz w:val="20"/>
                <w:szCs w:val="20"/>
                <w:lang w:eastAsia="ru-RU"/>
              </w:rPr>
              <w:t xml:space="preserve">. Шприц соединение </w:t>
            </w:r>
            <w:proofErr w:type="spellStart"/>
            <w:r w:rsidRPr="008E1F07">
              <w:rPr>
                <w:rFonts w:ascii="Times New Roman" w:eastAsia="Times New Roman" w:hAnsi="Times New Roman" w:cs="Times New Roman"/>
                <w:color w:val="000000"/>
                <w:sz w:val="20"/>
                <w:szCs w:val="20"/>
                <w:lang w:eastAsia="ru-RU"/>
              </w:rPr>
              <w:t>Луэр</w:t>
            </w:r>
            <w:proofErr w:type="spellEnd"/>
            <w:r w:rsidRPr="008E1F07">
              <w:rPr>
                <w:rFonts w:ascii="Times New Roman" w:eastAsia="Times New Roman" w:hAnsi="Times New Roman" w:cs="Times New Roman"/>
                <w:color w:val="000000"/>
                <w:sz w:val="20"/>
                <w:szCs w:val="20"/>
                <w:lang w:eastAsia="ru-RU"/>
              </w:rPr>
              <w:t xml:space="preserve"> </w:t>
            </w:r>
            <w:proofErr w:type="spellStart"/>
            <w:r w:rsidRPr="008E1F07">
              <w:rPr>
                <w:rFonts w:ascii="Times New Roman" w:eastAsia="Times New Roman" w:hAnsi="Times New Roman" w:cs="Times New Roman"/>
                <w:color w:val="000000"/>
                <w:sz w:val="20"/>
                <w:szCs w:val="20"/>
                <w:lang w:eastAsia="ru-RU"/>
              </w:rPr>
              <w:t>Лок</w:t>
            </w:r>
            <w:proofErr w:type="spellEnd"/>
            <w:r w:rsidRPr="008E1F07">
              <w:rPr>
                <w:rFonts w:ascii="Times New Roman" w:eastAsia="Times New Roman" w:hAnsi="Times New Roman" w:cs="Times New Roman"/>
                <w:color w:val="000000"/>
                <w:sz w:val="20"/>
                <w:szCs w:val="20"/>
                <w:lang w:eastAsia="ru-RU"/>
              </w:rPr>
              <w:t xml:space="preserve"> 3мл. </w:t>
            </w:r>
            <w:proofErr w:type="spellStart"/>
            <w:r w:rsidRPr="008E1F07">
              <w:rPr>
                <w:rFonts w:ascii="Times New Roman" w:eastAsia="Times New Roman" w:hAnsi="Times New Roman" w:cs="Times New Roman"/>
                <w:color w:val="000000"/>
                <w:sz w:val="20"/>
                <w:szCs w:val="20"/>
                <w:lang w:eastAsia="ru-RU"/>
              </w:rPr>
              <w:t>Дискофикс</w:t>
            </w:r>
            <w:proofErr w:type="spellEnd"/>
            <w:r w:rsidRPr="008E1F07">
              <w:rPr>
                <w:rFonts w:ascii="Times New Roman" w:eastAsia="Times New Roman" w:hAnsi="Times New Roman" w:cs="Times New Roman"/>
                <w:color w:val="000000"/>
                <w:sz w:val="20"/>
                <w:szCs w:val="20"/>
                <w:lang w:eastAsia="ru-RU"/>
              </w:rPr>
              <w:t>, 3-х ходовой кран. Мягкий самоклеющийся фиксатор катетера. Скальпель. Кабель для ЭК</w:t>
            </w:r>
            <w:proofErr w:type="gramStart"/>
            <w:r w:rsidRPr="008E1F07">
              <w:rPr>
                <w:rFonts w:ascii="Times New Roman" w:eastAsia="Times New Roman" w:hAnsi="Times New Roman" w:cs="Times New Roman"/>
                <w:color w:val="000000"/>
                <w:sz w:val="20"/>
                <w:szCs w:val="20"/>
                <w:lang w:eastAsia="ru-RU"/>
              </w:rPr>
              <w:t>Г-</w:t>
            </w:r>
            <w:proofErr w:type="gramEnd"/>
            <w:r w:rsidRPr="008E1F07">
              <w:rPr>
                <w:rFonts w:ascii="Times New Roman" w:eastAsia="Times New Roman" w:hAnsi="Times New Roman" w:cs="Times New Roman"/>
                <w:color w:val="000000"/>
                <w:sz w:val="20"/>
                <w:szCs w:val="20"/>
                <w:lang w:eastAsia="ru-RU"/>
              </w:rPr>
              <w:t xml:space="preserve"> контроля постановки катетера. Не содержит ДЭГФ и Латекс. </w:t>
            </w:r>
            <w:proofErr w:type="gramStart"/>
            <w:r w:rsidRPr="008E1F07">
              <w:rPr>
                <w:rFonts w:ascii="Times New Roman" w:eastAsia="Times New Roman" w:hAnsi="Times New Roman" w:cs="Times New Roman"/>
                <w:color w:val="000000"/>
                <w:sz w:val="20"/>
                <w:szCs w:val="20"/>
                <w:lang w:eastAsia="ru-RU"/>
              </w:rPr>
              <w:t>Стерильный</w:t>
            </w:r>
            <w:proofErr w:type="gramEnd"/>
            <w:r w:rsidRPr="008E1F07">
              <w:rPr>
                <w:rFonts w:ascii="Times New Roman" w:eastAsia="Times New Roman" w:hAnsi="Times New Roman" w:cs="Times New Roman"/>
                <w:color w:val="000000"/>
                <w:sz w:val="20"/>
                <w:szCs w:val="20"/>
                <w:lang w:eastAsia="ru-RU"/>
              </w:rPr>
              <w:t xml:space="preserve">, для однократного применения. </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proofErr w:type="gramStart"/>
            <w:r w:rsidRPr="008E1F07">
              <w:rPr>
                <w:rFonts w:ascii="Times New Roman" w:eastAsia="Times New Roman" w:hAnsi="Times New Roman" w:cs="Times New Roman"/>
                <w:color w:val="000000"/>
                <w:sz w:val="20"/>
                <w:szCs w:val="20"/>
                <w:lang w:eastAsia="ru-RU"/>
              </w:rPr>
              <w:lastRenderedPageBreak/>
              <w:t>ш</w:t>
            </w:r>
            <w:proofErr w:type="gramEnd"/>
            <w:r w:rsidRPr="008E1F07">
              <w:rPr>
                <w:rFonts w:ascii="Times New Roman" w:eastAsia="Times New Roman" w:hAnsi="Times New Roman" w:cs="Times New Roman"/>
                <w:color w:val="000000"/>
                <w:sz w:val="20"/>
                <w:szCs w:val="20"/>
                <w:lang w:eastAsia="ru-RU"/>
              </w:rPr>
              <w:t>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22 440,00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224 400,00    </w:t>
            </w:r>
          </w:p>
        </w:tc>
      </w:tr>
      <w:tr w:rsidR="008E1F07" w:rsidRPr="00715CE7" w:rsidTr="008E1F0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lastRenderedPageBreak/>
              <w:t>4</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Зонд желудочный, стерильный</w:t>
            </w:r>
          </w:p>
        </w:tc>
        <w:tc>
          <w:tcPr>
            <w:tcW w:w="549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(с делениями 45,55,65,75 см) стерильный, однократного применения CH 16; OD-5.3; ID-3,8</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250,00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25 000,00    </w:t>
            </w:r>
          </w:p>
        </w:tc>
      </w:tr>
      <w:tr w:rsidR="008E1F07" w:rsidRPr="00715CE7" w:rsidTr="008E1F07">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5</w:t>
            </w:r>
          </w:p>
        </w:tc>
        <w:tc>
          <w:tcPr>
            <w:tcW w:w="31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Набор игл с </w:t>
            </w:r>
            <w:proofErr w:type="spellStart"/>
            <w:r w:rsidRPr="008E1F07">
              <w:rPr>
                <w:rFonts w:ascii="Times New Roman" w:eastAsia="Times New Roman" w:hAnsi="Times New Roman" w:cs="Times New Roman"/>
                <w:color w:val="000000"/>
                <w:sz w:val="20"/>
                <w:szCs w:val="20"/>
                <w:lang w:eastAsia="ru-RU"/>
              </w:rPr>
              <w:t>интродьюсером</w:t>
            </w:r>
            <w:proofErr w:type="spellEnd"/>
            <w:r w:rsidRPr="008E1F07">
              <w:rPr>
                <w:rFonts w:ascii="Times New Roman" w:eastAsia="Times New Roman" w:hAnsi="Times New Roman" w:cs="Times New Roman"/>
                <w:color w:val="000000"/>
                <w:sz w:val="20"/>
                <w:szCs w:val="20"/>
                <w:lang w:eastAsia="ru-RU"/>
              </w:rPr>
              <w:t xml:space="preserve"> для спинальной анестезии: размеры игл: 25G, длина игл: 120мм (с </w:t>
            </w:r>
            <w:proofErr w:type="spellStart"/>
            <w:r w:rsidRPr="008E1F07">
              <w:rPr>
                <w:rFonts w:ascii="Times New Roman" w:eastAsia="Times New Roman" w:hAnsi="Times New Roman" w:cs="Times New Roman"/>
                <w:color w:val="000000"/>
                <w:sz w:val="20"/>
                <w:szCs w:val="20"/>
                <w:lang w:eastAsia="ru-RU"/>
              </w:rPr>
              <w:t>интродьюсером</w:t>
            </w:r>
            <w:proofErr w:type="spellEnd"/>
            <w:r w:rsidRPr="008E1F07">
              <w:rPr>
                <w:rFonts w:ascii="Times New Roman" w:eastAsia="Times New Roman" w:hAnsi="Times New Roman" w:cs="Times New Roman"/>
                <w:color w:val="000000"/>
                <w:sz w:val="20"/>
                <w:szCs w:val="20"/>
                <w:lang w:eastAsia="ru-RU"/>
              </w:rPr>
              <w:t xml:space="preserve">)  </w:t>
            </w:r>
          </w:p>
        </w:tc>
        <w:tc>
          <w:tcPr>
            <w:tcW w:w="549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Игла спинальная с </w:t>
            </w:r>
            <w:proofErr w:type="spellStart"/>
            <w:r w:rsidRPr="008E1F07">
              <w:rPr>
                <w:rFonts w:ascii="Times New Roman" w:eastAsia="Times New Roman" w:hAnsi="Times New Roman" w:cs="Times New Roman"/>
                <w:color w:val="000000"/>
                <w:sz w:val="20"/>
                <w:szCs w:val="20"/>
                <w:lang w:eastAsia="ru-RU"/>
              </w:rPr>
              <w:t>интродьюсером</w:t>
            </w:r>
            <w:proofErr w:type="spellEnd"/>
            <w:r w:rsidRPr="008E1F07">
              <w:rPr>
                <w:rFonts w:ascii="Times New Roman" w:eastAsia="Times New Roman" w:hAnsi="Times New Roman" w:cs="Times New Roman"/>
                <w:color w:val="000000"/>
                <w:sz w:val="20"/>
                <w:szCs w:val="20"/>
                <w:lang w:eastAsia="ru-RU"/>
              </w:rPr>
              <w:t xml:space="preserve">, размер 25G. C обтуратором, цвет оранжевый. Тип заточки «карандаш» для обеспечения профилактики </w:t>
            </w:r>
            <w:proofErr w:type="spellStart"/>
            <w:r w:rsidRPr="008E1F07">
              <w:rPr>
                <w:rFonts w:ascii="Times New Roman" w:eastAsia="Times New Roman" w:hAnsi="Times New Roman" w:cs="Times New Roman"/>
                <w:color w:val="000000"/>
                <w:sz w:val="20"/>
                <w:szCs w:val="20"/>
                <w:lang w:eastAsia="ru-RU"/>
              </w:rPr>
              <w:t>постпункционных</w:t>
            </w:r>
            <w:proofErr w:type="spellEnd"/>
            <w:r w:rsidRPr="008E1F07">
              <w:rPr>
                <w:rFonts w:ascii="Times New Roman" w:eastAsia="Times New Roman" w:hAnsi="Times New Roman" w:cs="Times New Roman"/>
                <w:color w:val="000000"/>
                <w:sz w:val="20"/>
                <w:szCs w:val="20"/>
                <w:lang w:eastAsia="ru-RU"/>
              </w:rPr>
              <w:t xml:space="preserve"> головных болей. Угол заточки 29,5 градусов для обеспечения минимальных усилий во время пункции. Длина 120 мм. Внутренний диаметр иглы  0.28 мм с химической полировкой внутреннего канала, для обеспечения быстрого появления обратного тока ликвора во время пункции (скорость прохождения тестового раствора 22 мм/с) и низкого сопротивления при введении местного анестетика. Расстояние от кончика иглы до начала бокового отверстия 1.20 мм с целью обеспечения большей прочности острия иглы и предотвращения его деформации при случайном контакте с костью. Длина бокового отверстия (по внутренним краям) 0.60 мм для предотвращения одновременного введения </w:t>
            </w:r>
            <w:proofErr w:type="gramStart"/>
            <w:r w:rsidRPr="008E1F07">
              <w:rPr>
                <w:rFonts w:ascii="Times New Roman" w:eastAsia="Times New Roman" w:hAnsi="Times New Roman" w:cs="Times New Roman"/>
                <w:color w:val="000000"/>
                <w:sz w:val="20"/>
                <w:szCs w:val="20"/>
                <w:lang w:eastAsia="ru-RU"/>
              </w:rPr>
              <w:t>анестетика</w:t>
            </w:r>
            <w:proofErr w:type="gramEnd"/>
            <w:r w:rsidRPr="008E1F07">
              <w:rPr>
                <w:rFonts w:ascii="Times New Roman" w:eastAsia="Times New Roman" w:hAnsi="Times New Roman" w:cs="Times New Roman"/>
                <w:color w:val="000000"/>
                <w:sz w:val="20"/>
                <w:szCs w:val="20"/>
                <w:lang w:eastAsia="ru-RU"/>
              </w:rPr>
              <w:t xml:space="preserve"> как в субарахноидальное, так и в </w:t>
            </w:r>
            <w:proofErr w:type="spellStart"/>
            <w:r w:rsidRPr="008E1F07">
              <w:rPr>
                <w:rFonts w:ascii="Times New Roman" w:eastAsia="Times New Roman" w:hAnsi="Times New Roman" w:cs="Times New Roman"/>
                <w:color w:val="000000"/>
                <w:sz w:val="20"/>
                <w:szCs w:val="20"/>
                <w:lang w:eastAsia="ru-RU"/>
              </w:rPr>
              <w:t>эпидуральное</w:t>
            </w:r>
            <w:proofErr w:type="spellEnd"/>
            <w:r w:rsidRPr="008E1F07">
              <w:rPr>
                <w:rFonts w:ascii="Times New Roman" w:eastAsia="Times New Roman" w:hAnsi="Times New Roman" w:cs="Times New Roman"/>
                <w:color w:val="000000"/>
                <w:sz w:val="20"/>
                <w:szCs w:val="20"/>
                <w:lang w:eastAsia="ru-RU"/>
              </w:rPr>
              <w:t xml:space="preserve"> пространство и развития частичного блока. Толщина иглы под краем бокового отверстия 0.60 мм для сохранения жесткости иглы, предотвращения случайного захвата и переноса тканей в субарахноидальное пространство, предотвращения разрыва волокон твердой мозговой оболочки краями отверстия. Игла-</w:t>
            </w:r>
            <w:proofErr w:type="spellStart"/>
            <w:r w:rsidRPr="008E1F07">
              <w:rPr>
                <w:rFonts w:ascii="Times New Roman" w:eastAsia="Times New Roman" w:hAnsi="Times New Roman" w:cs="Times New Roman"/>
                <w:color w:val="000000"/>
                <w:sz w:val="20"/>
                <w:szCs w:val="20"/>
                <w:lang w:eastAsia="ru-RU"/>
              </w:rPr>
              <w:t>интродьюсер</w:t>
            </w:r>
            <w:proofErr w:type="spellEnd"/>
            <w:r w:rsidRPr="008E1F07">
              <w:rPr>
                <w:rFonts w:ascii="Times New Roman" w:eastAsia="Times New Roman" w:hAnsi="Times New Roman" w:cs="Times New Roman"/>
                <w:color w:val="000000"/>
                <w:sz w:val="20"/>
                <w:szCs w:val="20"/>
                <w:lang w:eastAsia="ru-RU"/>
              </w:rPr>
              <w:t xml:space="preserve"> 22G, наружный диаметр 0,9 мм, длина рабочей части 34 мм. Защитные пластиковые трубки, покрывающие металлические части иглы и </w:t>
            </w:r>
            <w:proofErr w:type="spellStart"/>
            <w:r w:rsidRPr="008E1F07">
              <w:rPr>
                <w:rFonts w:ascii="Times New Roman" w:eastAsia="Times New Roman" w:hAnsi="Times New Roman" w:cs="Times New Roman"/>
                <w:color w:val="000000"/>
                <w:sz w:val="20"/>
                <w:szCs w:val="20"/>
                <w:lang w:eastAsia="ru-RU"/>
              </w:rPr>
              <w:t>интродьюсера</w:t>
            </w:r>
            <w:proofErr w:type="spellEnd"/>
            <w:r w:rsidRPr="008E1F07">
              <w:rPr>
                <w:rFonts w:ascii="Times New Roman" w:eastAsia="Times New Roman" w:hAnsi="Times New Roman" w:cs="Times New Roman"/>
                <w:color w:val="000000"/>
                <w:sz w:val="20"/>
                <w:szCs w:val="20"/>
                <w:lang w:eastAsia="ru-RU"/>
              </w:rPr>
              <w:t xml:space="preserve">, для безопасной утилизации. Стерильная упаковка, стерилизация </w:t>
            </w:r>
            <w:proofErr w:type="spellStart"/>
            <w:r w:rsidRPr="008E1F07">
              <w:rPr>
                <w:rFonts w:ascii="Times New Roman" w:eastAsia="Times New Roman" w:hAnsi="Times New Roman" w:cs="Times New Roman"/>
                <w:color w:val="000000"/>
                <w:sz w:val="20"/>
                <w:szCs w:val="20"/>
                <w:lang w:eastAsia="ru-RU"/>
              </w:rPr>
              <w:t>этиленоксидом</w:t>
            </w:r>
            <w:proofErr w:type="spellEnd"/>
            <w:r w:rsidRPr="008E1F07">
              <w:rPr>
                <w:rFonts w:ascii="Times New Roman" w:eastAsia="Times New Roman" w:hAnsi="Times New Roman" w:cs="Times New Roman"/>
                <w:color w:val="000000"/>
                <w:sz w:val="20"/>
                <w:szCs w:val="20"/>
                <w:lang w:eastAsia="ru-RU"/>
              </w:rPr>
              <w:t>.</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штука</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4 700,00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1F07" w:rsidRPr="008E1F07" w:rsidRDefault="008E1F07">
            <w:pPr>
              <w:jc w:val="center"/>
              <w:rPr>
                <w:rFonts w:ascii="Times New Roman" w:eastAsia="Times New Roman" w:hAnsi="Times New Roman" w:cs="Times New Roman"/>
                <w:color w:val="000000"/>
                <w:sz w:val="20"/>
                <w:szCs w:val="20"/>
                <w:lang w:eastAsia="ru-RU"/>
              </w:rPr>
            </w:pPr>
            <w:r w:rsidRPr="008E1F07">
              <w:rPr>
                <w:rFonts w:ascii="Times New Roman" w:eastAsia="Times New Roman" w:hAnsi="Times New Roman" w:cs="Times New Roman"/>
                <w:color w:val="000000"/>
                <w:sz w:val="20"/>
                <w:szCs w:val="20"/>
                <w:lang w:eastAsia="ru-RU"/>
              </w:rPr>
              <w:t xml:space="preserve">       940 000,00    </w:t>
            </w:r>
          </w:p>
        </w:tc>
      </w:tr>
      <w:tr w:rsidR="00FE154F" w:rsidRPr="00715CE7" w:rsidTr="00911DEE">
        <w:trPr>
          <w:trHeight w:val="283"/>
        </w:trPr>
        <w:tc>
          <w:tcPr>
            <w:tcW w:w="13731" w:type="dxa"/>
            <w:gridSpan w:val="6"/>
            <w:tcBorders>
              <w:top w:val="nil"/>
              <w:left w:val="single" w:sz="4" w:space="0" w:color="auto"/>
              <w:bottom w:val="single" w:sz="4" w:space="0" w:color="auto"/>
              <w:right w:val="single" w:sz="4" w:space="0" w:color="auto"/>
            </w:tcBorders>
            <w:shd w:val="clear" w:color="000000" w:fill="FFFFFF"/>
            <w:vAlign w:val="center"/>
          </w:tcPr>
          <w:p w:rsidR="00FE154F" w:rsidRPr="00715CE7" w:rsidRDefault="008C2CD4" w:rsidP="008C2CD4">
            <w:pPr>
              <w:spacing w:after="0" w:line="240" w:lineRule="auto"/>
              <w:jc w:val="right"/>
              <w:rPr>
                <w:rFonts w:ascii="Times New Roman" w:eastAsia="Times New Roman" w:hAnsi="Times New Roman" w:cs="Times New Roman"/>
                <w:b/>
                <w:color w:val="000000"/>
                <w:sz w:val="20"/>
                <w:szCs w:val="20"/>
                <w:lang w:eastAsia="ru-RU"/>
              </w:rPr>
            </w:pPr>
            <w:r w:rsidRPr="00715CE7">
              <w:rPr>
                <w:rFonts w:ascii="Times New Roman" w:eastAsia="Times New Roman" w:hAnsi="Times New Roman" w:cs="Times New Roman"/>
                <w:b/>
                <w:color w:val="000000"/>
                <w:sz w:val="20"/>
                <w:szCs w:val="20"/>
                <w:lang w:eastAsia="ru-RU"/>
              </w:rPr>
              <w:t>Итого</w:t>
            </w:r>
          </w:p>
        </w:tc>
        <w:tc>
          <w:tcPr>
            <w:tcW w:w="1701" w:type="dxa"/>
            <w:tcBorders>
              <w:top w:val="nil"/>
              <w:left w:val="nil"/>
              <w:bottom w:val="single" w:sz="4" w:space="0" w:color="auto"/>
              <w:right w:val="single" w:sz="4" w:space="0" w:color="auto"/>
            </w:tcBorders>
            <w:shd w:val="clear" w:color="000000" w:fill="FFFFFF"/>
            <w:noWrap/>
            <w:vAlign w:val="center"/>
          </w:tcPr>
          <w:tbl>
            <w:tblPr>
              <w:tblW w:w="1960" w:type="dxa"/>
              <w:tblLayout w:type="fixed"/>
              <w:tblCellMar>
                <w:left w:w="0" w:type="dxa"/>
                <w:right w:w="0" w:type="dxa"/>
              </w:tblCellMar>
              <w:tblLook w:val="04A0" w:firstRow="1" w:lastRow="0" w:firstColumn="1" w:lastColumn="0" w:noHBand="0" w:noVBand="1"/>
            </w:tblPr>
            <w:tblGrid>
              <w:gridCol w:w="1960"/>
            </w:tblGrid>
            <w:tr w:rsidR="001C41CB" w:rsidRPr="00715CE7" w:rsidTr="001C41CB">
              <w:trPr>
                <w:trHeight w:val="255"/>
              </w:trPr>
              <w:tc>
                <w:tcPr>
                  <w:tcW w:w="19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1C41CB" w:rsidRPr="00715CE7" w:rsidRDefault="008E1F07" w:rsidP="008E1F07">
                  <w:pPr>
                    <w:framePr w:hSpace="180" w:wrap="around" w:vAnchor="text" w:hAnchor="text" w:y="1"/>
                    <w:suppressOverlap/>
                    <w:jc w:val="center"/>
                    <w:rPr>
                      <w:rFonts w:ascii="Times New Roman" w:hAnsi="Times New Roman" w:cs="Times New Roman"/>
                      <w:b/>
                      <w:color w:val="000000"/>
                      <w:sz w:val="20"/>
                      <w:szCs w:val="20"/>
                    </w:rPr>
                  </w:pPr>
                  <w:r>
                    <w:rPr>
                      <w:rFonts w:ascii="Times New Roman" w:hAnsi="Times New Roman" w:cs="Times New Roman"/>
                      <w:b/>
                      <w:color w:val="000000"/>
                      <w:sz w:val="20"/>
                      <w:szCs w:val="20"/>
                    </w:rPr>
                    <w:t>1 208 964,00</w:t>
                  </w:r>
                </w:p>
              </w:tc>
            </w:tr>
          </w:tbl>
          <w:p w:rsidR="00FE154F" w:rsidRPr="00715CE7" w:rsidRDefault="00FE154F" w:rsidP="00911DEE">
            <w:pPr>
              <w:jc w:val="center"/>
              <w:rPr>
                <w:rFonts w:ascii="Times New Roman" w:hAnsi="Times New Roman" w:cs="Times New Roman"/>
                <w:color w:val="000000"/>
                <w:sz w:val="20"/>
                <w:szCs w:val="20"/>
              </w:rPr>
            </w:pPr>
          </w:p>
        </w:tc>
      </w:tr>
    </w:tbl>
    <w:p w:rsidR="00E612BC" w:rsidRPr="00E612BC" w:rsidRDefault="00C07C83" w:rsidP="00C07C83">
      <w:pPr>
        <w:pStyle w:val="a3"/>
        <w:shd w:val="clear" w:color="auto" w:fill="FFFFFF"/>
        <w:tabs>
          <w:tab w:val="left" w:pos="9585"/>
        </w:tabs>
        <w:spacing w:before="0" w:beforeAutospacing="0" w:after="0" w:afterAutospacing="0"/>
        <w:textAlignment w:val="baseline"/>
        <w:rPr>
          <w:b/>
          <w:spacing w:val="2"/>
          <w:lang w:val="kk-KZ"/>
        </w:rPr>
      </w:pPr>
      <w:r>
        <w:rPr>
          <w:b/>
          <w:spacing w:val="2"/>
          <w:lang w:val="kk-KZ"/>
        </w:rPr>
        <w:tab/>
      </w: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lastRenderedPageBreak/>
        <w:t>Тауарларды жеткізу орны:</w:t>
      </w:r>
      <w:r w:rsidRPr="00E612BC">
        <w:rPr>
          <w:spacing w:val="2"/>
          <w:lang w:val="kk-KZ"/>
        </w:rPr>
        <w:t xml:space="preserve"> Алматы қаласы, Достық даңғылы, 125</w:t>
      </w:r>
      <w:r w:rsidR="00FE154F">
        <w:rPr>
          <w:spacing w:val="2"/>
          <w:lang w:val="kk-KZ"/>
        </w:rPr>
        <w:t>.</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r w:rsidR="00FE154F">
        <w:rPr>
          <w:rFonts w:ascii="Times New Roman" w:eastAsia="Times New Roman" w:hAnsi="Times New Roman" w:cs="Times New Roman"/>
          <w:spacing w:val="2"/>
          <w:sz w:val="24"/>
          <w:szCs w:val="24"/>
        </w:rPr>
        <w:t>.</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5C0CFD">
        <w:rPr>
          <w:rFonts w:ascii="Times New Roman" w:hAnsi="Times New Roman" w:cs="Times New Roman"/>
          <w:color w:val="000000" w:themeColor="text1"/>
          <w:spacing w:val="1"/>
          <w:sz w:val="24"/>
          <w:szCs w:val="24"/>
          <w:shd w:val="clear" w:color="auto" w:fill="FFFFFF"/>
          <w:lang w:val="kk-KZ"/>
        </w:rPr>
        <w:t>1</w:t>
      </w:r>
      <w:r w:rsidRPr="00E612BC">
        <w:rPr>
          <w:rFonts w:ascii="Times New Roman" w:hAnsi="Times New Roman" w:cs="Times New Roman"/>
          <w:color w:val="000000" w:themeColor="text1"/>
          <w:spacing w:val="1"/>
          <w:sz w:val="24"/>
          <w:szCs w:val="24"/>
          <w:shd w:val="clear" w:color="auto" w:fill="FFFFFF"/>
          <w:lang w:val="kk-KZ"/>
        </w:rPr>
        <w:t>-тарауында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w:t>
      </w:r>
      <w:r w:rsidR="00C07C83">
        <w:rPr>
          <w:rFonts w:ascii="Times New Roman" w:hAnsi="Times New Roman" w:cs="Times New Roman"/>
          <w:color w:val="000000" w:themeColor="text1"/>
          <w:spacing w:val="1"/>
          <w:sz w:val="24"/>
          <w:szCs w:val="24"/>
          <w:shd w:val="clear" w:color="auto" w:fill="FFFFFF"/>
          <w:lang w:val="kk-KZ"/>
        </w:rPr>
        <w:t>80</w:t>
      </w:r>
      <w:r w:rsidRPr="00E612BC">
        <w:rPr>
          <w:rFonts w:ascii="Times New Roman" w:hAnsi="Times New Roman" w:cs="Times New Roman"/>
          <w:color w:val="000000" w:themeColor="text1"/>
          <w:spacing w:val="1"/>
          <w:sz w:val="24"/>
          <w:szCs w:val="24"/>
          <w:shd w:val="clear" w:color="auto" w:fill="FFFFFF"/>
          <w:lang w:val="kk-KZ"/>
        </w:rPr>
        <w:t xml:space="preserve">-тармағына сәйкес ұсынған бір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F45DAF">
      <w:pPr>
        <w:spacing w:after="0"/>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lastRenderedPageBreak/>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F45DAF">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t xml:space="preserve">              ___________________________________________________________________________________________________________</w:t>
      </w: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9D54F3" w:rsidRPr="00E612BC" w:rsidRDefault="009D54F3" w:rsidP="00F45DAF">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 xml:space="preserve">главой </w:t>
        </w:r>
      </w:hyperlink>
      <w:bookmarkEnd w:id="1"/>
      <w:r w:rsidR="005C0CFD">
        <w:rPr>
          <w:rStyle w:val="s0"/>
          <w:color w:val="auto"/>
          <w:sz w:val="24"/>
          <w:szCs w:val="24"/>
        </w:rPr>
        <w:t>1</w:t>
      </w:r>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E612BC" w:rsidRDefault="009D54F3" w:rsidP="00F45DAF">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 xml:space="preserve">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lastRenderedPageBreak/>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5F1C6E">
        <w:rPr>
          <w:rStyle w:val="s0"/>
          <w:color w:val="auto"/>
          <w:sz w:val="24"/>
          <w:szCs w:val="24"/>
        </w:rPr>
        <w:t xml:space="preserve">3) </w:t>
      </w:r>
      <w:r w:rsidR="009D54F3" w:rsidRPr="00E612BC">
        <w:rPr>
          <w:rStyle w:val="s0"/>
          <w:color w:val="auto"/>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F45DAF">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664" w:rsidRDefault="002D1664" w:rsidP="0082634C">
      <w:pPr>
        <w:spacing w:after="0" w:line="240" w:lineRule="auto"/>
      </w:pPr>
      <w:r>
        <w:separator/>
      </w:r>
    </w:p>
  </w:endnote>
  <w:endnote w:type="continuationSeparator" w:id="0">
    <w:p w:rsidR="002D1664" w:rsidRDefault="002D1664"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664" w:rsidRDefault="002D1664" w:rsidP="0082634C">
      <w:pPr>
        <w:spacing w:after="0" w:line="240" w:lineRule="auto"/>
      </w:pPr>
      <w:r>
        <w:separator/>
      </w:r>
    </w:p>
  </w:footnote>
  <w:footnote w:type="continuationSeparator" w:id="0">
    <w:p w:rsidR="002D1664" w:rsidRDefault="002D1664"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24CFC"/>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4212"/>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06D05"/>
    <w:rsid w:val="001124AD"/>
    <w:rsid w:val="00115A41"/>
    <w:rsid w:val="00117B45"/>
    <w:rsid w:val="00120CD7"/>
    <w:rsid w:val="00123005"/>
    <w:rsid w:val="00124B48"/>
    <w:rsid w:val="0012561A"/>
    <w:rsid w:val="00125C20"/>
    <w:rsid w:val="00126771"/>
    <w:rsid w:val="00127136"/>
    <w:rsid w:val="001305FF"/>
    <w:rsid w:val="00131A76"/>
    <w:rsid w:val="0013336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073D"/>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1CB"/>
    <w:rsid w:val="001C4618"/>
    <w:rsid w:val="001D1400"/>
    <w:rsid w:val="001D28C6"/>
    <w:rsid w:val="001D39B5"/>
    <w:rsid w:val="001D6405"/>
    <w:rsid w:val="001D78A7"/>
    <w:rsid w:val="001E2AEF"/>
    <w:rsid w:val="001E338D"/>
    <w:rsid w:val="001F0059"/>
    <w:rsid w:val="001F0AF4"/>
    <w:rsid w:val="001F2474"/>
    <w:rsid w:val="001F35AD"/>
    <w:rsid w:val="001F508E"/>
    <w:rsid w:val="001F5E60"/>
    <w:rsid w:val="00203370"/>
    <w:rsid w:val="00203A92"/>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1DC4"/>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1664"/>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76D23"/>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7C4"/>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0CFD"/>
    <w:rsid w:val="005C19C9"/>
    <w:rsid w:val="005C1C54"/>
    <w:rsid w:val="005C4664"/>
    <w:rsid w:val="005C4BC1"/>
    <w:rsid w:val="005C5362"/>
    <w:rsid w:val="005C5727"/>
    <w:rsid w:val="005D6050"/>
    <w:rsid w:val="005D7145"/>
    <w:rsid w:val="005E0544"/>
    <w:rsid w:val="005E3EF9"/>
    <w:rsid w:val="005F11DF"/>
    <w:rsid w:val="005F1C6E"/>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7D8"/>
    <w:rsid w:val="00656C71"/>
    <w:rsid w:val="0065733C"/>
    <w:rsid w:val="006600DF"/>
    <w:rsid w:val="00662D6A"/>
    <w:rsid w:val="00664751"/>
    <w:rsid w:val="006663B9"/>
    <w:rsid w:val="00666768"/>
    <w:rsid w:val="0066708B"/>
    <w:rsid w:val="0067087C"/>
    <w:rsid w:val="006733F5"/>
    <w:rsid w:val="00674D5B"/>
    <w:rsid w:val="00680313"/>
    <w:rsid w:val="00683718"/>
    <w:rsid w:val="00686E4E"/>
    <w:rsid w:val="00690C20"/>
    <w:rsid w:val="00692937"/>
    <w:rsid w:val="00693886"/>
    <w:rsid w:val="00694655"/>
    <w:rsid w:val="00697AAA"/>
    <w:rsid w:val="006A05BE"/>
    <w:rsid w:val="006A58B8"/>
    <w:rsid w:val="006A738B"/>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5CE7"/>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5D0B"/>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93D"/>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37AB1"/>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2CD4"/>
    <w:rsid w:val="008C30A0"/>
    <w:rsid w:val="008C4F3C"/>
    <w:rsid w:val="008C7E0A"/>
    <w:rsid w:val="008D003A"/>
    <w:rsid w:val="008D1533"/>
    <w:rsid w:val="008D162A"/>
    <w:rsid w:val="008D2D7C"/>
    <w:rsid w:val="008D56CF"/>
    <w:rsid w:val="008D7B19"/>
    <w:rsid w:val="008E1807"/>
    <w:rsid w:val="008E1F07"/>
    <w:rsid w:val="008E33AA"/>
    <w:rsid w:val="008F2AAB"/>
    <w:rsid w:val="008F2EBF"/>
    <w:rsid w:val="008F3C56"/>
    <w:rsid w:val="008F48F9"/>
    <w:rsid w:val="008F66D7"/>
    <w:rsid w:val="0090049C"/>
    <w:rsid w:val="009071FD"/>
    <w:rsid w:val="00907360"/>
    <w:rsid w:val="0090755E"/>
    <w:rsid w:val="00907B3A"/>
    <w:rsid w:val="00911DEE"/>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1A27"/>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4E4"/>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547D"/>
    <w:rsid w:val="00A363E3"/>
    <w:rsid w:val="00A36EDC"/>
    <w:rsid w:val="00A36F82"/>
    <w:rsid w:val="00A375C6"/>
    <w:rsid w:val="00A422E3"/>
    <w:rsid w:val="00A4350B"/>
    <w:rsid w:val="00A44044"/>
    <w:rsid w:val="00A4765A"/>
    <w:rsid w:val="00A504D7"/>
    <w:rsid w:val="00A50643"/>
    <w:rsid w:val="00A55266"/>
    <w:rsid w:val="00A61570"/>
    <w:rsid w:val="00A71753"/>
    <w:rsid w:val="00A71819"/>
    <w:rsid w:val="00A7292E"/>
    <w:rsid w:val="00A72E31"/>
    <w:rsid w:val="00A75F3F"/>
    <w:rsid w:val="00A81665"/>
    <w:rsid w:val="00A81F4F"/>
    <w:rsid w:val="00A8236A"/>
    <w:rsid w:val="00A827D7"/>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8D1"/>
    <w:rsid w:val="00B16D3A"/>
    <w:rsid w:val="00B20CFD"/>
    <w:rsid w:val="00B25578"/>
    <w:rsid w:val="00B25595"/>
    <w:rsid w:val="00B2763C"/>
    <w:rsid w:val="00B3366F"/>
    <w:rsid w:val="00B34369"/>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C6308"/>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07C83"/>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416E"/>
    <w:rsid w:val="00CC46DB"/>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3F0B"/>
    <w:rsid w:val="00DC6BE2"/>
    <w:rsid w:val="00DC6D4C"/>
    <w:rsid w:val="00DD3C9D"/>
    <w:rsid w:val="00DE18CB"/>
    <w:rsid w:val="00DE3C6F"/>
    <w:rsid w:val="00DE7C81"/>
    <w:rsid w:val="00DF13FC"/>
    <w:rsid w:val="00E001EF"/>
    <w:rsid w:val="00E0289C"/>
    <w:rsid w:val="00E05995"/>
    <w:rsid w:val="00E05BD8"/>
    <w:rsid w:val="00E05CC4"/>
    <w:rsid w:val="00E05F39"/>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9566C"/>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45DAF"/>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154F"/>
    <w:rsid w:val="00FE2760"/>
    <w:rsid w:val="00FE5481"/>
    <w:rsid w:val="00FE59AB"/>
    <w:rsid w:val="00FE6C9C"/>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58020621">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165438991">
      <w:bodyDiv w:val="1"/>
      <w:marLeft w:val="0"/>
      <w:marRight w:val="0"/>
      <w:marTop w:val="0"/>
      <w:marBottom w:val="0"/>
      <w:divBdr>
        <w:top w:val="none" w:sz="0" w:space="0" w:color="auto"/>
        <w:left w:val="none" w:sz="0" w:space="0" w:color="auto"/>
        <w:bottom w:val="none" w:sz="0" w:space="0" w:color="auto"/>
        <w:right w:val="none" w:sz="0" w:space="0" w:color="auto"/>
      </w:divBdr>
    </w:div>
    <w:div w:id="243269835">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881870866">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05727790">
      <w:bodyDiv w:val="1"/>
      <w:marLeft w:val="0"/>
      <w:marRight w:val="0"/>
      <w:marTop w:val="0"/>
      <w:marBottom w:val="0"/>
      <w:divBdr>
        <w:top w:val="none" w:sz="0" w:space="0" w:color="auto"/>
        <w:left w:val="none" w:sz="0" w:space="0" w:color="auto"/>
        <w:bottom w:val="none" w:sz="0" w:space="0" w:color="auto"/>
        <w:right w:val="none" w:sz="0" w:space="0" w:color="auto"/>
      </w:divBdr>
    </w:div>
    <w:div w:id="1126658495">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353678363">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12838781">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07503553">
      <w:bodyDiv w:val="1"/>
      <w:marLeft w:val="0"/>
      <w:marRight w:val="0"/>
      <w:marTop w:val="0"/>
      <w:marBottom w:val="0"/>
      <w:divBdr>
        <w:top w:val="none" w:sz="0" w:space="0" w:color="auto"/>
        <w:left w:val="none" w:sz="0" w:space="0" w:color="auto"/>
        <w:bottom w:val="none" w:sz="0" w:space="0" w:color="auto"/>
        <w:right w:val="none" w:sz="0" w:space="0" w:color="auto"/>
      </w:divBdr>
    </w:div>
    <w:div w:id="1840340572">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48528431">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7DD6-556E-49F4-BD2E-34810DD1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5</Pages>
  <Words>2063</Words>
  <Characters>11762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339</cp:revision>
  <dcterms:created xsi:type="dcterms:W3CDTF">2022-11-02T08:53:00Z</dcterms:created>
  <dcterms:modified xsi:type="dcterms:W3CDTF">2023-08-31T03:54:00Z</dcterms:modified>
</cp:coreProperties>
</file>