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EC4A0E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EC4A0E">
        <w:rPr>
          <w:spacing w:val="2"/>
        </w:rPr>
        <w:t>Приложение 1 к объявлению о проведении закупа способом</w:t>
      </w:r>
      <w:r w:rsidR="00A26A06" w:rsidRPr="00EC4A0E">
        <w:rPr>
          <w:spacing w:val="2"/>
        </w:rPr>
        <w:t xml:space="preserve"> запроса ценовых предложений №63</w:t>
      </w:r>
    </w:p>
    <w:p w:rsidR="00155DDC" w:rsidRPr="00EC4A0E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EC4A0E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EC4A0E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EC4A0E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</w:t>
      </w:r>
      <w:bookmarkStart w:id="0" w:name="_GoBack"/>
      <w:bookmarkEnd w:id="0"/>
      <w:r w:rsidRPr="00EC4A0E">
        <w:rPr>
          <w:color w:val="000000"/>
          <w:spacing w:val="1"/>
          <w:shd w:val="clear" w:color="auto" w:fill="FFFFFF"/>
        </w:rPr>
        <w:t>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EC4A0E">
        <w:rPr>
          <w:color w:val="000000"/>
          <w:spacing w:val="1"/>
        </w:rPr>
        <w:br/>
      </w:r>
      <w:r w:rsidRPr="00EC4A0E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Pr="00EC4A0E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468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268"/>
        <w:gridCol w:w="6848"/>
        <w:gridCol w:w="1048"/>
        <w:gridCol w:w="892"/>
        <w:gridCol w:w="1276"/>
        <w:gridCol w:w="1701"/>
      </w:tblGrid>
      <w:tr w:rsidR="00155DDC" w:rsidRPr="008365F6" w:rsidTr="002A5868">
        <w:trPr>
          <w:trHeight w:val="510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155DDC" w:rsidRPr="008365F6" w:rsidRDefault="00155DDC" w:rsidP="002A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3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№                 </w:t>
            </w:r>
            <w:proofErr w:type="gramStart"/>
            <w:r w:rsidRPr="0083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л</w:t>
            </w:r>
            <w:proofErr w:type="gramEnd"/>
            <w:r w:rsidRPr="0083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ота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55DDC" w:rsidRPr="008365F6" w:rsidRDefault="00155DDC" w:rsidP="002A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3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6848" w:type="dxa"/>
            <w:shd w:val="clear" w:color="000000" w:fill="FFFFFF"/>
            <w:noWrap/>
            <w:vAlign w:val="center"/>
            <w:hideMark/>
          </w:tcPr>
          <w:p w:rsidR="00155DDC" w:rsidRPr="008365F6" w:rsidRDefault="00155DDC" w:rsidP="002A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3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Характеристика</w:t>
            </w:r>
          </w:p>
        </w:tc>
        <w:tc>
          <w:tcPr>
            <w:tcW w:w="1048" w:type="dxa"/>
            <w:shd w:val="clear" w:color="000000" w:fill="FFFFFF"/>
            <w:noWrap/>
            <w:vAlign w:val="center"/>
            <w:hideMark/>
          </w:tcPr>
          <w:p w:rsidR="00155DDC" w:rsidRPr="008365F6" w:rsidRDefault="00155DDC" w:rsidP="002A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3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155DDC" w:rsidRPr="008365F6" w:rsidRDefault="00325B45" w:rsidP="002A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3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Кол-</w:t>
            </w:r>
            <w:r w:rsidR="00155DDC" w:rsidRPr="0083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55DDC" w:rsidRPr="008365F6" w:rsidRDefault="00155DDC" w:rsidP="002A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3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Цена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55DDC" w:rsidRPr="008365F6" w:rsidRDefault="00155DDC" w:rsidP="002A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3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Сумма, тенге</w:t>
            </w:r>
          </w:p>
        </w:tc>
      </w:tr>
      <w:tr w:rsidR="00683643" w:rsidRPr="008365F6" w:rsidTr="002A5868">
        <w:trPr>
          <w:trHeight w:val="510"/>
          <w:jc w:val="center"/>
        </w:trPr>
        <w:tc>
          <w:tcPr>
            <w:tcW w:w="653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8365F6">
              <w:rPr>
                <w:rFonts w:ascii="Times New Roman" w:eastAsia="Calibri" w:hAnsi="Times New Roman" w:cs="Times New Roman"/>
                <w:sz w:val="17"/>
                <w:szCs w:val="17"/>
              </w:rPr>
              <w:t>Система</w:t>
            </w:r>
            <w:r w:rsidRPr="008365F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8365F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для дозирования и </w:t>
            </w:r>
            <w:proofErr w:type="gramStart"/>
            <w:r w:rsidRPr="008365F6">
              <w:rPr>
                <w:rFonts w:ascii="Times New Roman" w:eastAsia="Calibri" w:hAnsi="Times New Roman" w:cs="Times New Roman"/>
                <w:sz w:val="17"/>
                <w:szCs w:val="17"/>
              </w:rPr>
              <w:t>смешивания</w:t>
            </w:r>
            <w:proofErr w:type="gramEnd"/>
            <w:r w:rsidRPr="008365F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 готовых </w:t>
            </w:r>
            <w:proofErr w:type="spellStart"/>
            <w:r w:rsidRPr="008365F6">
              <w:rPr>
                <w:rFonts w:ascii="Times New Roman" w:eastAsia="Calibri" w:hAnsi="Times New Roman" w:cs="Times New Roman"/>
                <w:sz w:val="17"/>
                <w:szCs w:val="17"/>
              </w:rPr>
              <w:t>инфузионных</w:t>
            </w:r>
            <w:proofErr w:type="spellEnd"/>
            <w:r w:rsidRPr="008365F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растворов в закрытой системе в стерильных условиях для аппарата </w:t>
            </w:r>
            <w:proofErr w:type="spellStart"/>
            <w:r w:rsidRPr="008365F6">
              <w:rPr>
                <w:rFonts w:ascii="Times New Roman" w:eastAsia="Calibri" w:hAnsi="Times New Roman" w:cs="Times New Roman"/>
                <w:sz w:val="17"/>
                <w:szCs w:val="17"/>
              </w:rPr>
              <w:t>MediMix</w:t>
            </w:r>
            <w:proofErr w:type="spellEnd"/>
            <w:r w:rsidRPr="008365F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365F6">
              <w:rPr>
                <w:rFonts w:ascii="Times New Roman" w:eastAsia="Calibri" w:hAnsi="Times New Roman" w:cs="Times New Roman"/>
                <w:sz w:val="17"/>
                <w:szCs w:val="17"/>
              </w:rPr>
              <w:t>mini</w:t>
            </w:r>
            <w:proofErr w:type="spellEnd"/>
          </w:p>
        </w:tc>
        <w:tc>
          <w:tcPr>
            <w:tcW w:w="6848" w:type="dxa"/>
            <w:shd w:val="clear" w:color="000000" w:fill="FFFFFF"/>
            <w:noWrap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Педиатрическая дозировочная система. Состоит из следующих частей и материалов: 4 пробирки – резервуара для капель с гидрофобным фильтром микрочастиц , 4 соединительные трубочки, размером 3,0 x 0,55 70 см; 4 разноцветных зажима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Люэровское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замковые соединения типа штекер,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защитныи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̆ колпачок. Коннектор из 4-ходов в один 50 мл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одноразовыи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̆ шприц  18 мл (продукты должны быть стерильны 5 лет со дня стерилизации). Все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Люэровские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соединения типа гнездо и штекер соответствуют нормам. Вся продукция является без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фталатов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 смягчителей и латекса. Вся упаковка без латекса. Педиатрическая дозировочная система, это 4-х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ходовои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̆ набор с зажимами предназначен для приготовления дозирования, перелива и смешивания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растворов внутривенного парентерального питания в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закрытои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̆ системе.</w:t>
            </w:r>
          </w:p>
        </w:tc>
        <w:tc>
          <w:tcPr>
            <w:tcW w:w="1048" w:type="dxa"/>
            <w:shd w:val="clear" w:color="000000" w:fill="FFFFFF"/>
            <w:noWrap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штук</w:t>
            </w: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683643" w:rsidRPr="008365F6" w:rsidRDefault="00F50E36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83643" w:rsidRPr="008365F6" w:rsidRDefault="00F50E36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703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683643" w:rsidRPr="008365F6" w:rsidRDefault="007979E8" w:rsidP="002A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kk-KZ" w:eastAsia="ru-RU"/>
              </w:rPr>
            </w:pPr>
            <w:r w:rsidRPr="008365F6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kk-KZ" w:eastAsia="ru-RU"/>
              </w:rPr>
              <w:t>2 270 300,00</w:t>
            </w:r>
          </w:p>
        </w:tc>
      </w:tr>
      <w:tr w:rsidR="00683643" w:rsidRPr="008365F6" w:rsidTr="002A5868">
        <w:trPr>
          <w:trHeight w:val="1101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Коннектор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Т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– образный для дозирования и смешивания готовых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растворов в закрытой системе в стерильных условиях</w:t>
            </w:r>
          </w:p>
        </w:tc>
        <w:tc>
          <w:tcPr>
            <w:tcW w:w="684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Предназначено для введения особо маленьких объемов до 5 мл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ак электролитов, микроэлементов в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закрытои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̆ системе. Изделие используется со всеми дозировочными системами аппаратов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MediMixmini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MediMixplus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. Изделие стерильное и одноразового пользования. В изделии нет латекса 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фталатных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смягчителеи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̆. Упаковка без латекса и ПВХ.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штук</w:t>
            </w: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683643" w:rsidRPr="008365F6" w:rsidRDefault="00F50E36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83643" w:rsidRPr="008365F6" w:rsidRDefault="00F50E36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525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683643" w:rsidRPr="008365F6" w:rsidRDefault="007979E8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352 500,00</w:t>
            </w:r>
          </w:p>
        </w:tc>
      </w:tr>
      <w:tr w:rsidR="00683643" w:rsidRPr="008365F6" w:rsidTr="002A5868">
        <w:trPr>
          <w:trHeight w:val="58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трансфузионные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системы для дозирования, смешивания, переливания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растворов. Светоустойчивая соединительная линия, объем 7,2 мл.</w:t>
            </w:r>
          </w:p>
        </w:tc>
        <w:tc>
          <w:tcPr>
            <w:tcW w:w="684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Светостойкая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соединительная линия между мешком и шприцевым насосом с автоматическим дозировочным клапаном. Состоит из следующих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частеи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̆ и материалов: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Люэровское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соединение типа штекер;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вмонтированныи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̆ дозировочный клапан.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Светостойкая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соединительная трубочка размером не менее 3,0x0,55.</w:t>
            </w:r>
          </w:p>
          <w:p w:rsidR="00683643" w:rsidRPr="008365F6" w:rsidRDefault="00683643" w:rsidP="002A5868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3ажим.</w:t>
            </w:r>
          </w:p>
          <w:p w:rsidR="00683643" w:rsidRPr="008365F6" w:rsidRDefault="00683643" w:rsidP="002A5868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3ащитный колпачок.</w:t>
            </w:r>
          </w:p>
          <w:p w:rsidR="00683643" w:rsidRPr="008365F6" w:rsidRDefault="00683643" w:rsidP="002A5868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Защитныи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̆,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короткии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̆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плотныи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̆ колпачок.</w:t>
            </w:r>
          </w:p>
          <w:p w:rsidR="00683643" w:rsidRPr="008365F6" w:rsidRDefault="00683643" w:rsidP="002A5868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Все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Люэровские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соединения типа гнездо и штекер соответствуют нормам. Вся продукция без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фталатов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смягчителеи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̆ и латекса. Вся упаковка без латекса. Изделие предназначено для соединения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инфузионного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мешка со шприцом шприцевого насоса. Вмонтированный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обратныи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̆ дозировочный клапан предотвращает неконтролируемое поднимание раствора обратно.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Люэровские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соединения с защитными колпачками.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Люэровское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соединение типа штекер (в верхней̆ части линии) соединяется с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люэровским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соединением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инфузионного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мешка типа: гнездо.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штук</w:t>
            </w: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683643" w:rsidRPr="008365F6" w:rsidRDefault="00F50E36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83643" w:rsidRPr="008365F6" w:rsidRDefault="00F50E36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418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683643" w:rsidRPr="008365F6" w:rsidRDefault="007979E8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1 483 600,00</w:t>
            </w:r>
          </w:p>
        </w:tc>
      </w:tr>
      <w:tr w:rsidR="00683643" w:rsidRPr="008365F6" w:rsidTr="002A5868">
        <w:trPr>
          <w:trHeight w:val="510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eastAsia="MS Mincho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eastAsia="MS Mincho" w:hAnsi="Times New Roman" w:cs="Times New Roman"/>
                <w:sz w:val="17"/>
                <w:szCs w:val="17"/>
              </w:rPr>
              <w:t xml:space="preserve">Светоустойчивый </w:t>
            </w:r>
            <w:proofErr w:type="spellStart"/>
            <w:r w:rsidRPr="008365F6">
              <w:rPr>
                <w:rFonts w:ascii="Times New Roman" w:eastAsia="MS Mincho" w:hAnsi="Times New Roman" w:cs="Times New Roman"/>
                <w:sz w:val="17"/>
                <w:szCs w:val="17"/>
              </w:rPr>
              <w:t>инфузионный</w:t>
            </w:r>
            <w:proofErr w:type="spellEnd"/>
            <w:r w:rsidRPr="008365F6">
              <w:rPr>
                <w:rFonts w:ascii="Times New Roman" w:eastAsia="MS Mincho" w:hAnsi="Times New Roman" w:cs="Times New Roman"/>
                <w:sz w:val="17"/>
                <w:szCs w:val="17"/>
              </w:rPr>
              <w:t xml:space="preserve"> мешок желтого цвета с </w:t>
            </w:r>
            <w:proofErr w:type="spellStart"/>
            <w:r w:rsidRPr="008365F6">
              <w:rPr>
                <w:rFonts w:ascii="Times New Roman" w:eastAsia="MS Mincho" w:hAnsi="Times New Roman" w:cs="Times New Roman"/>
                <w:sz w:val="17"/>
                <w:szCs w:val="17"/>
              </w:rPr>
              <w:t>Люэр</w:t>
            </w:r>
            <w:proofErr w:type="spellEnd"/>
            <w:r w:rsidRPr="008365F6">
              <w:rPr>
                <w:rFonts w:ascii="Times New Roman" w:eastAsia="MS Mincho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365F6">
              <w:rPr>
                <w:rFonts w:ascii="Times New Roman" w:eastAsia="MS Mincho" w:hAnsi="Times New Roman" w:cs="Times New Roman"/>
                <w:sz w:val="17"/>
                <w:szCs w:val="17"/>
              </w:rPr>
              <w:t>Лок'ом</w:t>
            </w:r>
            <w:proofErr w:type="spellEnd"/>
            <w:r w:rsidRPr="008365F6">
              <w:rPr>
                <w:rFonts w:ascii="Times New Roman" w:eastAsia="MS Mincho" w:hAnsi="Times New Roman" w:cs="Times New Roman"/>
                <w:sz w:val="17"/>
                <w:szCs w:val="17"/>
              </w:rPr>
              <w:t xml:space="preserve">, инъекционным портом для дополнительных инъекций 250 мл для аппарата  </w:t>
            </w:r>
            <w:proofErr w:type="spellStart"/>
            <w:r w:rsidRPr="008365F6">
              <w:rPr>
                <w:rFonts w:ascii="Times New Roman" w:eastAsia="MS Mincho" w:hAnsi="Times New Roman" w:cs="Times New Roman"/>
                <w:sz w:val="17"/>
                <w:szCs w:val="17"/>
              </w:rPr>
              <w:t>MediMix</w:t>
            </w:r>
            <w:proofErr w:type="spellEnd"/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684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Мешок изготовлен из светостойкого материала, 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структура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которой</w:t>
            </w:r>
          </w:p>
          <w:p w:rsidR="00683643" w:rsidRPr="008365F6" w:rsidRDefault="00683643" w:rsidP="002A5868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позволяет легко заполнить мешок. Мешок стерилизован Гамма лучами; Наличие зажима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ерманентного зажима для герметизации соединительной части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люэровского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замка.</w:t>
            </w:r>
          </w:p>
          <w:p w:rsidR="00683643" w:rsidRPr="008365F6" w:rsidRDefault="00683643" w:rsidP="002A5868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Мешок оснащен соединительными трубочками с отверстиями:</w:t>
            </w:r>
          </w:p>
          <w:p w:rsidR="00683643" w:rsidRPr="008365F6" w:rsidRDefault="00683643" w:rsidP="002A5868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1) для наполнения мешка с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ЛюэрЛок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соединением типа гнездо. (В середине)</w:t>
            </w:r>
          </w:p>
          <w:p w:rsidR="00683643" w:rsidRPr="008365F6" w:rsidRDefault="00683643" w:rsidP="002A5868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Светоустойчивая трубочка изготовлена из двух слоев: верхний слой из 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гибкого</w:t>
            </w:r>
            <w:proofErr w:type="gramEnd"/>
          </w:p>
          <w:p w:rsidR="00683643" w:rsidRPr="008365F6" w:rsidRDefault="00683643" w:rsidP="002A5868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полюретана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, а внутренние стеночки из полиэтилена, практически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неабсорбируют</w:t>
            </w:r>
            <w:proofErr w:type="spellEnd"/>
          </w:p>
          <w:p w:rsidR="00683643" w:rsidRPr="008365F6" w:rsidRDefault="00683643" w:rsidP="002A5868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растворы.</w:t>
            </w:r>
          </w:p>
          <w:p w:rsidR="00683643" w:rsidRPr="008365F6" w:rsidRDefault="00683643" w:rsidP="002A5868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2) отверстие для соединения с любыми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инфузионными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системами-капельницами. Иглой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спайком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типа карандаш на капельной системе прокалывается мембрана, защищающая отверстие и капельница плотно соединяется с мешком.</w:t>
            </w:r>
          </w:p>
          <w:p w:rsidR="00683643" w:rsidRPr="008365F6" w:rsidRDefault="00683643" w:rsidP="002A5868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3) с инъекционным портом для дополнительных инъекций, 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защищен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от</w:t>
            </w:r>
          </w:p>
          <w:p w:rsidR="00683643" w:rsidRPr="008365F6" w:rsidRDefault="00683643" w:rsidP="002A5868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поломки и 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стабильный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выдерживающей до 100 манипуляций.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мешки удобно использовать со всеми капельницами для гравитационных насосов.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штук</w:t>
            </w: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683643" w:rsidRPr="008365F6" w:rsidRDefault="00F50E36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83643" w:rsidRPr="008365F6" w:rsidRDefault="00F50E36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4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 </w:t>
            </w: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056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683643" w:rsidRPr="008365F6" w:rsidRDefault="007979E8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2 433 600,00</w:t>
            </w:r>
          </w:p>
        </w:tc>
      </w:tr>
      <w:tr w:rsidR="00683643" w:rsidRPr="008365F6" w:rsidTr="002A5868">
        <w:trPr>
          <w:trHeight w:val="510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трансфузионные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системы для дозирования, смешивания, переливания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растворов. Двухканальная система с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эндотоксинным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фильтром, объем 0,7 мл </w:t>
            </w:r>
            <w:r w:rsidRPr="008365F6">
              <w:rPr>
                <w:rFonts w:ascii="Times New Roman" w:eastAsia="Calibri" w:hAnsi="Times New Roman" w:cs="Times New Roman"/>
                <w:sz w:val="17"/>
                <w:szCs w:val="17"/>
              </w:rPr>
              <w:t>для аппарата</w:t>
            </w: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M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ediMix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84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Изделие предназначено 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для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долгосрочной внутривенной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в закрытой системе. Имеет два светостойких канала желтого цвета с разноцветными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люэровскими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соединениями (возможность  применения при необходимости для введения нескольких разных светочувствительных медикаментов). Для избегания перемешивания внутривенных растворов вмонтированные обратные клапаны. Все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люэровские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соединения имеют защитные колпачки. Материалы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люэровских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соединений поликарбонат (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макролан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) отмечаются особой устойчивостью к химическим средствам. Гайка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люэровского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соединение типа штекер, с функцией вращения. Соединительные трубочки изготовлены из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полюэритана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, гибкие и эластичные, на внутренних стеночках, в которых отсутствуют абсорбции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растворов. Коннектор 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оснащён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эндотоксинным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фильтром. Фильтр 0,2μm (+) против микрочастиц; положительно заряжен - гарантирует 96 часов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резистенции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к эндотоксинам и грамм отрицательным бактериям;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воздухозабор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исключает попадание воздуха в кровообращение; Фильтр чувствительно реагирует 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на</w:t>
            </w:r>
            <w:proofErr w:type="gramEnd"/>
          </w:p>
          <w:p w:rsidR="00683643" w:rsidRPr="008365F6" w:rsidRDefault="00683643" w:rsidP="002A5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несовместимость инъекционных материалов (при несовместимых инъекционных материалах фильтр не срабатывает). Через фильтр (0,2μm (+)) возможна подача антибиотиков. </w:t>
            </w:r>
            <w:proofErr w:type="spellStart"/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O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ба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канала соединены в один ход мини соединением.</w:t>
            </w:r>
          </w:p>
          <w:p w:rsidR="00683643" w:rsidRPr="008365F6" w:rsidRDefault="00683643" w:rsidP="002A5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Возможность применения 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шприцевым насосом, оставшийся канал</w:t>
            </w:r>
          </w:p>
          <w:p w:rsidR="00683643" w:rsidRPr="008365F6" w:rsidRDefault="00683643" w:rsidP="002A5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предназначен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для дополнительных инъекций в закрытой системе.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штук</w:t>
            </w: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683643" w:rsidRPr="008365F6" w:rsidRDefault="000C4D89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83643" w:rsidRPr="008365F6" w:rsidRDefault="000C4D89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802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683643" w:rsidRPr="008365F6" w:rsidRDefault="007979E8" w:rsidP="002A586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1 180 200,00</w:t>
            </w:r>
          </w:p>
        </w:tc>
      </w:tr>
      <w:tr w:rsidR="00683643" w:rsidRPr="008365F6" w:rsidTr="002A5868">
        <w:trPr>
          <w:trHeight w:val="706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</w:t>
            </w: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Инфузионные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трансфузионные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системы для дозирования, смешивания, переливания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растворов. Трехканальная система с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эндотоксинным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фильтром, объем 0,9 мл </w:t>
            </w:r>
            <w:r w:rsidRPr="008365F6">
              <w:rPr>
                <w:rFonts w:ascii="Times New Roman" w:eastAsia="Calibri" w:hAnsi="Times New Roman" w:cs="Times New Roman"/>
                <w:sz w:val="17"/>
                <w:szCs w:val="17"/>
              </w:rPr>
              <w:t>для аппарата</w:t>
            </w:r>
          </w:p>
        </w:tc>
        <w:tc>
          <w:tcPr>
            <w:tcW w:w="684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Предназначено для долгосрочной внутривенной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в закрытой системе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ри необходимости с  возможностью введения нескольких разных светочувствительных медикаментов). Имеет три светостойких канала желтого цвета с разноцветными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люэровскими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соединениями. Для избегания перемешивания внутривенных растворов вмонтированные обратные клапаны. Все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люэровские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соединения имеют защитные колпачки. Материалы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люэровских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соединений поликарбонат (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макролан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) отмечаются особой устойчивостью к химическим средствам. Гайка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люэровского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соединения типа штекер, с функцией вращения. Соединительные трубочки изготовлены из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полюэритана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, гибкие и эластичные, на внутренних стенках которых практически нет абсорбции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растворов. Коннектор 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оснащён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эндотоксинным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фильтром. Фильтр 0,2μm (+) с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патентированной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супермембраной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против микрочастиц; положительно заряжен - гарантирует 96 часов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резистенцию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к эндотоксинам и грамм отрицательным бактериям;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воздухозабор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исключает попадание воздуха в кровообращение; Фильтр чувствительно реагирует на несовместимость инъекционных материалов (при наличии несовместимых инъекционных материалов фильтр не срабатывает). Через 0,2μm (+) фильтр возможна </w:t>
            </w:r>
            <w:r w:rsidRPr="008365F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подача антибиотиков. Все 3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канал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a</w:t>
            </w:r>
            <w:proofErr w:type="spellEnd"/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соединены в один ход двумя мини соединениями. Возможность применения со шприцевым насосом. Оставшийся канал предназначен для дополнительных инъекций в закрытой системе.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lastRenderedPageBreak/>
              <w:t>штук</w:t>
            </w: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683643" w:rsidRPr="008365F6" w:rsidRDefault="000C4D89" w:rsidP="002A586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83643" w:rsidRPr="008365F6" w:rsidRDefault="000C4D89" w:rsidP="002A586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683643" w:rsidRPr="008365F6" w:rsidRDefault="007979E8" w:rsidP="002A586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1 203 400,00</w:t>
            </w:r>
          </w:p>
        </w:tc>
      </w:tr>
      <w:tr w:rsidR="00683643" w:rsidRPr="008365F6" w:rsidTr="002A5868">
        <w:trPr>
          <w:trHeight w:val="510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трансфузионные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системы для дозирования, смешивания, переливания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иния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внутривенных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растворов (Четырехканальная система с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эндотоксинным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фильтром, объем 1,1 мл).</w:t>
            </w: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84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Предназначено для долгосрочной внутривенной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в закрытой системе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ри необходимости  с  возможностью введения нескольких разных светочувствительных медикаментов). Имеет 4 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светостойких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канала желтого цвета с разноцветными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люэровскими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соединениями. Для избегания перемешивания внутривенных растворов вмонтированы обратные клапаны. Все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люэровские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соединения имеют защитные колпачки. Материалы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люэровских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соединений поликарбонат (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макролан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) отмечаются особой устойчивостью к химическим средствам. Гайка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люэровского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соединения типа штекер, с функцией вращения. Соединительные трубочки изготовлены из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полюэритана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, гибкие и эластичные на внутренних стеночках в которых отсутствуют абсорбции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растворов. Коннектор 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оснащен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эндотоксинным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фильтром. Фильтр 0,2μm (+) с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патентированной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супермембраной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против микрочастиц; положительно заряжен - гарантирует 96 часов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резистенции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к эндотоксинам и грамм отрицательным бактериям;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воздухозабор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исключает попадание воздуха в кровообращение; Фильтр чувствительно реагирует на несовместимость инъекционных материалов (при наличии несовместимых инъекционных материалов фильтр не срабатывает). Через 0,2μm (+) фильтр возможна подача антибиотиков. Все 4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канал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a</w:t>
            </w:r>
            <w:proofErr w:type="spellEnd"/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соединены в один ход 3 мини соединениями.</w:t>
            </w:r>
          </w:p>
          <w:p w:rsidR="00683643" w:rsidRPr="008365F6" w:rsidRDefault="00683643" w:rsidP="002A5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Возможность применения 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шприцевым насосом. Оставшийся канал</w:t>
            </w:r>
          </w:p>
          <w:p w:rsidR="00683643" w:rsidRPr="008365F6" w:rsidRDefault="00683643" w:rsidP="002A5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предназначен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для дополнительных инъекций в закрытой системе.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штук</w:t>
            </w: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683643" w:rsidRPr="008365F6" w:rsidRDefault="000C4D89" w:rsidP="002A586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83643" w:rsidRPr="008365F6" w:rsidRDefault="000C4D89" w:rsidP="002A586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965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683643" w:rsidRPr="008365F6" w:rsidRDefault="007979E8" w:rsidP="002A586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1 196 500,00</w:t>
            </w:r>
          </w:p>
        </w:tc>
      </w:tr>
      <w:tr w:rsidR="00683643" w:rsidRPr="008365F6" w:rsidTr="002A5868">
        <w:trPr>
          <w:trHeight w:val="510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трансфузионные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системы для дозирования, смешивания, переливания внутривенных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растворов (Трехканальная линия с положительно заряженным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эндотоксинным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фильтром микрочастиц 0,2 микрона).</w:t>
            </w: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84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Предназначено 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для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долгосрочной внутривенной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в закрытой системе. Имеет два прозрачных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канал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a</w:t>
            </w:r>
            <w:proofErr w:type="spellEnd"/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 разноцветными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люэровскими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соединениями и один канал желтого цвета. Для избегания перемешивания внутривенных растворов вмонтированы обратные клапаны. Все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люэровские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соединения имеют защитные колпачки. Материалы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люэровских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соединений поликарбонат (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макролан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) отмечаются особой устойчивостью к химическим средствам. Гайка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люэровского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соединения типа штекер, крутиться. Соединительные трубочки изготовлены из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полюэритана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, гибкие и эластичные, на внутренних стеночках, которых практически нет абсорбции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растворов. Коннектор 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оснащен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эндотоксинным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фильтром. Фильтр 0,2μm (+) с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патентированной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супермембраной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против микрочастиц;</w:t>
            </w:r>
          </w:p>
          <w:p w:rsidR="00683643" w:rsidRPr="008365F6" w:rsidRDefault="00683643" w:rsidP="002A5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положительно заряжен - гарантирует 96 часов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резистенцию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к эндотоксинам и грамм отрицательным бактериям;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воздухозабор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исключает попадание воздуха в кровообращение; Фильтр чувствительно реагирует на несовместимость инъекционных материалов (при наличии несовместимых инъекционных материалов фильтр не срабатывает). Через 0,2μm (+) фильтр возможна подача антибиотиков. Коннектор имеет 3 канала, два прозрачных и один светостойкий желтого цвета, обходящий основной фильтр. Все каналы соединены в один ход мини соединением. Канал желтого цвета с обратным контрольным клапаном короткого расстояния с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люэровским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замковым соединением типа гнездо, и обходящий основной фильтр, предназначен для соединения с удлинительными линиями для инъекций липидов, лекарственных веществ, крови и компонентов. Возможность применения с гравитационным насосом, когда пациенту необходима долгосрочная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инфузия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 более чем 50 мл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растворов.</w:t>
            </w:r>
          </w:p>
          <w:p w:rsidR="00683643" w:rsidRPr="008365F6" w:rsidRDefault="00683643" w:rsidP="002A5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Один из прозрачных каналов коннектора соединяется с любой капельницей.</w:t>
            </w:r>
          </w:p>
          <w:p w:rsidR="00683643" w:rsidRPr="008365F6" w:rsidRDefault="00683643" w:rsidP="002A5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Оставшийся канал предназначен для дополнительных инъекций в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закрырой</w:t>
            </w:r>
            <w:proofErr w:type="spellEnd"/>
          </w:p>
          <w:p w:rsidR="00683643" w:rsidRPr="008365F6" w:rsidRDefault="00683643" w:rsidP="002A5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системе. Нижняя светостойкая часть соединяется к катетеру или с одним 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из</w:t>
            </w:r>
            <w:proofErr w:type="gramEnd"/>
          </w:p>
          <w:p w:rsidR="00683643" w:rsidRPr="008365F6" w:rsidRDefault="00683643" w:rsidP="002A5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одноканальных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коннекторов с зажимом или без зажима, или с дополнительным</w:t>
            </w:r>
          </w:p>
          <w:p w:rsidR="00683643" w:rsidRPr="008365F6" w:rsidRDefault="00683643" w:rsidP="002A5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инъекционным портом.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lastRenderedPageBreak/>
              <w:t>штук</w:t>
            </w: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683643" w:rsidRPr="008365F6" w:rsidRDefault="000C4D89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C4D89" w:rsidRPr="008365F6" w:rsidRDefault="000C4D89" w:rsidP="002A586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565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683643" w:rsidRPr="008365F6" w:rsidRDefault="007979E8" w:rsidP="002A586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1 056 500,00</w:t>
            </w:r>
          </w:p>
        </w:tc>
      </w:tr>
      <w:tr w:rsidR="00683643" w:rsidRPr="008365F6" w:rsidTr="002A5868">
        <w:trPr>
          <w:trHeight w:val="3114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трансфузионные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системы для дозирования, смешивания, переливания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иния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внутривенных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растворов (Двухканальная удлинительная система с фильтром, объем 2,0 мл).</w:t>
            </w:r>
          </w:p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4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Предназначено 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для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долгосрочной внутривенной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в закрытой системе используя шприцевой насос. Имеет два канала для 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основной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и для дополнительной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. Все каналы соединены в один ход мини соединением. Чтобы </w:t>
            </w:r>
            <w:proofErr w:type="gram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предотвратить перемешивания внутривенных растворов вмонтированы</w:t>
            </w:r>
            <w:proofErr w:type="gram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обратные клапаны. Все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люэровские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соединения имеют защитные колпачки. Материалы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люэровских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соединений поликарбонат (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макролан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) отмечаются особой устойчивостью к химическим средствам. Гайка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люэровского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соединения типа штекер, с функцией вращения. Соединительная двухканальная линия оснащена с антибактериальным /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эндотоксинным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фильтром. Фильтр 0,2μm (+) положительно заряжен с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патентированной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супермембраной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против микрочастиц. Фильтр гарантирует 96 часов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резистенцию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к эндотоксинам и грамм отрицательным бактериям.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Воздухозабор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исключает попадание воздуха в кровообращение. Фильтр чувствительно реагирует на несовместимость инъекционных материалов (при наличии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несовместимыхинъекционных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материалов фильтр не срабатывает). Через 0,2μm (+) фильтр возможна подача антибиотиков.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штук</w:t>
            </w: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683643" w:rsidRPr="008365F6" w:rsidRDefault="000C4D89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83643" w:rsidRPr="008365F6" w:rsidRDefault="000C4D89" w:rsidP="002A586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8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 </w:t>
            </w: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945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683643" w:rsidRPr="008365F6" w:rsidRDefault="007979E8" w:rsidP="002A586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894 500,00</w:t>
            </w:r>
          </w:p>
        </w:tc>
      </w:tr>
      <w:tr w:rsidR="00683643" w:rsidRPr="008365F6" w:rsidTr="002A5868">
        <w:trPr>
          <w:trHeight w:val="510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683643" w:rsidRPr="008365F6" w:rsidRDefault="00683643" w:rsidP="00A8003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трансфузионные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системы для дозирования, смешивания, переливания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растворов. Светоустойчивая удлинительная система с антигрибковым фильтром, объем 0,9 мл для аппарата M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ediMix</w:t>
            </w:r>
            <w:proofErr w:type="spellEnd"/>
          </w:p>
        </w:tc>
        <w:tc>
          <w:tcPr>
            <w:tcW w:w="684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Линия предназначена для введения светочувствительных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растворов,</w:t>
            </w:r>
          </w:p>
          <w:p w:rsidR="00683643" w:rsidRPr="008365F6" w:rsidRDefault="00683643" w:rsidP="002A58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лекарственных веществ в закрытой системе. Светоустойчивая, особенно мягкая и эластичная соединительная линия, изготовлена из полиуретана желтого цвета особо низкая абсорбция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растворов на внутренних стеночках трубочки. Фильтр 1,2μm. Фильтр с и мембраной против микрочастиц гарантирует 24 часа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резистенцию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против грибка.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Воздухозабор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гарантирует абсолютное исключение проникновения воздуха в кровообращение пациента.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Люэровские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замковые соединения изготовлены из устойчивого к химическим веществам поликарбоната PC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макролана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. Резьбовая гайка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люэровского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типа соединения с функцией вращения, что значительно облегчает соединение и в особенности избежать дополнительных нагрузок невыношенным младенцам.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штук</w:t>
            </w: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683643" w:rsidRPr="008365F6" w:rsidRDefault="000C4D89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83643" w:rsidRPr="008365F6" w:rsidRDefault="000C4D89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445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683643" w:rsidRPr="008365F6" w:rsidRDefault="007979E8" w:rsidP="002A586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544 500,00</w:t>
            </w:r>
          </w:p>
        </w:tc>
      </w:tr>
      <w:tr w:rsidR="00683643" w:rsidRPr="008365F6" w:rsidTr="002A5868">
        <w:trPr>
          <w:trHeight w:val="510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spacing w:after="200" w:line="252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и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трансфузионные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системы для дозирования, смешивания, переливания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растворов. Светоустойчивая удлинительная система с антигрибковым фильтром, объем 1,5 мл для аппарата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MediMix</w:t>
            </w:r>
            <w:proofErr w:type="spellEnd"/>
          </w:p>
        </w:tc>
        <w:tc>
          <w:tcPr>
            <w:tcW w:w="6848" w:type="dxa"/>
            <w:shd w:val="clear" w:color="000000" w:fill="FFFFFF"/>
            <w:vAlign w:val="center"/>
          </w:tcPr>
          <w:p w:rsidR="00683643" w:rsidRPr="008365F6" w:rsidRDefault="00683643" w:rsidP="00A800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Линия предназначена для введения липидов и светочувствительных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инфузионных</w:t>
            </w:r>
            <w:proofErr w:type="spellEnd"/>
          </w:p>
          <w:p w:rsidR="00683643" w:rsidRPr="008365F6" w:rsidRDefault="00683643" w:rsidP="00A800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растворов, лекарственных веществ в закрытой системе. Светоустойчивая, особенно</w:t>
            </w:r>
          </w:p>
          <w:p w:rsidR="00683643" w:rsidRPr="008365F6" w:rsidRDefault="00683643" w:rsidP="00A800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мягкая и эластичная соединительная линия, изготовлена из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полюретана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желтого цвета. Особо низкая абсорбция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инфузионных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растворов на внутренних стеночках трубочки.</w:t>
            </w:r>
          </w:p>
          <w:p w:rsidR="00683643" w:rsidRPr="008365F6" w:rsidRDefault="00683643" w:rsidP="00A800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Фильтр 1,2μm. Фильтр с и мембраной против микрочастиц гарантирует 24 часа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резистенцию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против грибка.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Воздухозабор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гарантирует абсолютное исключение проникновения воздуха в кровообращение пациента. Фильтр позиционирован в большем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растоянии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от пациента.</w:t>
            </w:r>
          </w:p>
          <w:p w:rsidR="00683643" w:rsidRPr="008365F6" w:rsidRDefault="00683643" w:rsidP="00A800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Люэровские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замковые соединения изготовлены из устойчивого к химическим веществам поликарбоната PC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макролана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. Резьбовая гайка </w:t>
            </w:r>
            <w:proofErr w:type="spellStart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люэровского</w:t>
            </w:r>
            <w:proofErr w:type="spellEnd"/>
            <w:r w:rsidRPr="008365F6">
              <w:rPr>
                <w:rFonts w:ascii="Times New Roman" w:hAnsi="Times New Roman" w:cs="Times New Roman"/>
                <w:sz w:val="17"/>
                <w:szCs w:val="17"/>
              </w:rPr>
              <w:t xml:space="preserve"> соединения типа с функцией вращения, что значительно облегчает соединение и в особенности избежать дополнительных нагрузок невыношенным младенцам.</w:t>
            </w:r>
          </w:p>
          <w:p w:rsidR="00683643" w:rsidRPr="008365F6" w:rsidRDefault="00683643" w:rsidP="002A58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</w:rPr>
              <w:t>(Имеется в исполнениях с фильтром малого размера для введения лекарственных веществ).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683643" w:rsidRPr="008365F6" w:rsidRDefault="00683643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штук</w:t>
            </w: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683643" w:rsidRPr="008365F6" w:rsidRDefault="000C4D89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83643" w:rsidRPr="008365F6" w:rsidRDefault="000C4D89" w:rsidP="002A586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5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 </w:t>
            </w: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071</w:t>
            </w:r>
            <w:r w:rsidR="004B5291"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683643" w:rsidRPr="008365F6" w:rsidRDefault="007979E8" w:rsidP="002A586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8365F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507 100,00</w:t>
            </w:r>
          </w:p>
        </w:tc>
      </w:tr>
      <w:tr w:rsidR="008B4B31" w:rsidRPr="008365F6" w:rsidTr="002A5868">
        <w:trPr>
          <w:trHeight w:val="510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8B4B31" w:rsidRPr="008365F6" w:rsidRDefault="008B4B31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8B4B31" w:rsidRPr="008365F6" w:rsidRDefault="008B4B31" w:rsidP="002A586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</w:p>
        </w:tc>
        <w:tc>
          <w:tcPr>
            <w:tcW w:w="6848" w:type="dxa"/>
            <w:shd w:val="clear" w:color="000000" w:fill="FFFFFF"/>
            <w:vAlign w:val="center"/>
          </w:tcPr>
          <w:p w:rsidR="008B4B31" w:rsidRPr="008365F6" w:rsidRDefault="008B4B31" w:rsidP="002A586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:rsidR="008B4B31" w:rsidRPr="008365F6" w:rsidRDefault="008B4B31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8B4B31" w:rsidRPr="008365F6" w:rsidRDefault="008B4B31" w:rsidP="002A586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B4B31" w:rsidRPr="008365F6" w:rsidRDefault="008B4B31" w:rsidP="002A586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8B4B31" w:rsidRPr="008365F6" w:rsidRDefault="008365F6" w:rsidP="002A58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kk-KZ"/>
              </w:rPr>
            </w:pPr>
            <w:r w:rsidRPr="008365F6">
              <w:rPr>
                <w:rFonts w:ascii="Times New Roman" w:hAnsi="Times New Roman" w:cs="Times New Roman"/>
                <w:b/>
                <w:sz w:val="17"/>
                <w:szCs w:val="17"/>
                <w:lang w:val="kk-KZ"/>
              </w:rPr>
              <w:t>13 122 700,00</w:t>
            </w:r>
          </w:p>
        </w:tc>
      </w:tr>
    </w:tbl>
    <w:p w:rsidR="00287EAD" w:rsidRPr="00EC4A0E" w:rsidRDefault="00287EAD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155DDC" w:rsidRPr="00EC4A0E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4A0E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EC4A0E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EC4A0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EC4A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EC4A0E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проспект </w:t>
      </w:r>
      <w:proofErr w:type="spellStart"/>
      <w:r w:rsidR="00287EAD" w:rsidRPr="00EC4A0E">
        <w:rPr>
          <w:rFonts w:ascii="Times New Roman" w:eastAsia="Times New Roman" w:hAnsi="Times New Roman" w:cs="Times New Roman"/>
          <w:spacing w:val="2"/>
          <w:sz w:val="27"/>
          <w:szCs w:val="27"/>
        </w:rPr>
        <w:t>Достык</w:t>
      </w:r>
      <w:proofErr w:type="spellEnd"/>
      <w:r w:rsidR="00287EAD" w:rsidRPr="00EC4A0E">
        <w:rPr>
          <w:rFonts w:ascii="Times New Roman" w:eastAsia="Times New Roman" w:hAnsi="Times New Roman" w:cs="Times New Roman"/>
          <w:spacing w:val="2"/>
          <w:sz w:val="27"/>
          <w:szCs w:val="27"/>
        </w:rPr>
        <w:t>, 125</w:t>
      </w:r>
    </w:p>
    <w:p w:rsidR="0082634C" w:rsidRPr="00EC4A0E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EC4A0E">
        <w:rPr>
          <w:spacing w:val="2"/>
        </w:rPr>
        <w:t>_________________________</w:t>
      </w:r>
    </w:p>
    <w:p w:rsidR="009D54F3" w:rsidRPr="00EC4A0E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EC4A0E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EC4A0E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EC4A0E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EC4A0E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 w:rsidRPr="00EC4A0E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EC4A0E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EC4A0E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  <w:proofErr w:type="gramEnd"/>
    </w:p>
    <w:p w:rsidR="009D54F3" w:rsidRPr="00EC4A0E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EC4A0E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EC4A0E">
          <w:rPr>
            <w:rStyle w:val="s0"/>
            <w:color w:val="auto"/>
            <w:sz w:val="24"/>
            <w:szCs w:val="24"/>
          </w:rPr>
          <w:t>форме</w:t>
        </w:r>
      </w:hyperlink>
      <w:r w:rsidRPr="00EC4A0E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EC4A0E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EC4A0E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EC4A0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EC4A0E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EC4A0E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4A0E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 w:rsidRPr="00EC4A0E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EC4A0E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EC4A0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EC4A0E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EC4A0E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4A0E">
        <w:rPr>
          <w:rStyle w:val="s0"/>
          <w:color w:val="auto"/>
          <w:sz w:val="24"/>
          <w:szCs w:val="24"/>
        </w:rPr>
        <w:t xml:space="preserve">Победитель </w:t>
      </w:r>
      <w:r w:rsidRPr="00EC4A0E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 w:rsidRPr="00EC4A0E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EC4A0E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EC4A0E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EC4A0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EC4A0E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C4A0E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EC4A0E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C4A0E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EC4A0E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EC4A0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EC4A0E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EC4A0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EC4A0E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EC4A0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EC4A0E">
        <w:rPr>
          <w:rStyle w:val="s0"/>
          <w:color w:val="auto"/>
          <w:sz w:val="24"/>
          <w:szCs w:val="24"/>
        </w:rPr>
        <w:lastRenderedPageBreak/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EC4A0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EC4A0E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EC4A0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EC4A0E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EC4A0E">
        <w:rPr>
          <w:rStyle w:val="s0"/>
          <w:color w:val="FFFFFF" w:themeColor="background1"/>
          <w:sz w:val="24"/>
          <w:szCs w:val="24"/>
        </w:rPr>
        <w:t>2</w:t>
      </w:r>
      <w:r w:rsidRPr="00EC4A0E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EC4A0E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4A0E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EC4A0E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EC4A0E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EC4A0E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B46A2B" w:rsidRPr="00EC4A0E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760"/>
      <w:bookmarkStart w:id="5" w:name="z150"/>
      <w:r w:rsidRPr="00EC4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"/>
      <w:bookmarkEnd w:id="5"/>
    </w:p>
    <w:sectPr w:rsidR="00B46A2B" w:rsidRPr="00EC4A0E" w:rsidSect="00EC4A0E">
      <w:pgSz w:w="16838" w:h="11906" w:orient="landscape"/>
      <w:pgMar w:top="566" w:right="678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B1" w:rsidRDefault="00CD2AB1" w:rsidP="0082634C">
      <w:pPr>
        <w:spacing w:after="0" w:line="240" w:lineRule="auto"/>
      </w:pPr>
      <w:r>
        <w:separator/>
      </w:r>
    </w:p>
  </w:endnote>
  <w:endnote w:type="continuationSeparator" w:id="0">
    <w:p w:rsidR="00CD2AB1" w:rsidRDefault="00CD2AB1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B1" w:rsidRDefault="00CD2AB1" w:rsidP="0082634C">
      <w:pPr>
        <w:spacing w:after="0" w:line="240" w:lineRule="auto"/>
      </w:pPr>
      <w:r>
        <w:separator/>
      </w:r>
    </w:p>
  </w:footnote>
  <w:footnote w:type="continuationSeparator" w:id="0">
    <w:p w:rsidR="00CD2AB1" w:rsidRDefault="00CD2AB1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7486"/>
    <w:rsid w:val="000232C7"/>
    <w:rsid w:val="000314F4"/>
    <w:rsid w:val="00031AF4"/>
    <w:rsid w:val="000324BA"/>
    <w:rsid w:val="000349C7"/>
    <w:rsid w:val="0003560B"/>
    <w:rsid w:val="00037B86"/>
    <w:rsid w:val="000403B4"/>
    <w:rsid w:val="0004133F"/>
    <w:rsid w:val="000437D1"/>
    <w:rsid w:val="00044963"/>
    <w:rsid w:val="000450CB"/>
    <w:rsid w:val="00053CF9"/>
    <w:rsid w:val="00060276"/>
    <w:rsid w:val="00062A63"/>
    <w:rsid w:val="000630AF"/>
    <w:rsid w:val="0006415E"/>
    <w:rsid w:val="0007163E"/>
    <w:rsid w:val="0007221D"/>
    <w:rsid w:val="00076867"/>
    <w:rsid w:val="000775A2"/>
    <w:rsid w:val="00083DE0"/>
    <w:rsid w:val="00086FD6"/>
    <w:rsid w:val="0009420B"/>
    <w:rsid w:val="0009506A"/>
    <w:rsid w:val="000A12CA"/>
    <w:rsid w:val="000A1F15"/>
    <w:rsid w:val="000A3A7B"/>
    <w:rsid w:val="000A4725"/>
    <w:rsid w:val="000A4A26"/>
    <w:rsid w:val="000A4C38"/>
    <w:rsid w:val="000B1748"/>
    <w:rsid w:val="000B4D73"/>
    <w:rsid w:val="000B6857"/>
    <w:rsid w:val="000C4D89"/>
    <w:rsid w:val="000C5235"/>
    <w:rsid w:val="000C7BDF"/>
    <w:rsid w:val="000D3349"/>
    <w:rsid w:val="000E2B69"/>
    <w:rsid w:val="000E3759"/>
    <w:rsid w:val="000E3ABD"/>
    <w:rsid w:val="000E5AD4"/>
    <w:rsid w:val="000E5E0D"/>
    <w:rsid w:val="000F12ED"/>
    <w:rsid w:val="000F7436"/>
    <w:rsid w:val="001000D8"/>
    <w:rsid w:val="00105A77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92433"/>
    <w:rsid w:val="00192779"/>
    <w:rsid w:val="00194B06"/>
    <w:rsid w:val="001958BD"/>
    <w:rsid w:val="00195CBC"/>
    <w:rsid w:val="00196153"/>
    <w:rsid w:val="001974A2"/>
    <w:rsid w:val="001A2857"/>
    <w:rsid w:val="001A2D1C"/>
    <w:rsid w:val="001B045B"/>
    <w:rsid w:val="001B2BE0"/>
    <w:rsid w:val="001C4A79"/>
    <w:rsid w:val="001D1400"/>
    <w:rsid w:val="001D39B5"/>
    <w:rsid w:val="001D6405"/>
    <w:rsid w:val="001E338D"/>
    <w:rsid w:val="001F0059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2795F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68"/>
    <w:rsid w:val="002802CA"/>
    <w:rsid w:val="00287EAD"/>
    <w:rsid w:val="002912D0"/>
    <w:rsid w:val="002939D3"/>
    <w:rsid w:val="00297A24"/>
    <w:rsid w:val="002A47C0"/>
    <w:rsid w:val="002A5868"/>
    <w:rsid w:val="002A7FD4"/>
    <w:rsid w:val="002B3A04"/>
    <w:rsid w:val="002C34EA"/>
    <w:rsid w:val="002C3F38"/>
    <w:rsid w:val="002C50D6"/>
    <w:rsid w:val="002C70C1"/>
    <w:rsid w:val="002D432B"/>
    <w:rsid w:val="002D6A6F"/>
    <w:rsid w:val="002D76E0"/>
    <w:rsid w:val="002D7DCB"/>
    <w:rsid w:val="002E21B6"/>
    <w:rsid w:val="002E3B1C"/>
    <w:rsid w:val="002E52BE"/>
    <w:rsid w:val="002E62CF"/>
    <w:rsid w:val="002F2417"/>
    <w:rsid w:val="002F5635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59CE"/>
    <w:rsid w:val="0037008D"/>
    <w:rsid w:val="00370270"/>
    <w:rsid w:val="003743A7"/>
    <w:rsid w:val="00375CCF"/>
    <w:rsid w:val="00380B93"/>
    <w:rsid w:val="00392ED0"/>
    <w:rsid w:val="003932F7"/>
    <w:rsid w:val="003A35E2"/>
    <w:rsid w:val="003B1D79"/>
    <w:rsid w:val="003B51E8"/>
    <w:rsid w:val="003B690A"/>
    <w:rsid w:val="003C026F"/>
    <w:rsid w:val="003D28AA"/>
    <w:rsid w:val="003E1E9B"/>
    <w:rsid w:val="003F1480"/>
    <w:rsid w:val="003F2E46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5B03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8E1"/>
    <w:rsid w:val="004A1E54"/>
    <w:rsid w:val="004A5B51"/>
    <w:rsid w:val="004B2401"/>
    <w:rsid w:val="004B3E14"/>
    <w:rsid w:val="004B5291"/>
    <w:rsid w:val="004C0E2A"/>
    <w:rsid w:val="004C17B5"/>
    <w:rsid w:val="004C185B"/>
    <w:rsid w:val="004C3ED8"/>
    <w:rsid w:val="004C48BF"/>
    <w:rsid w:val="004C4F50"/>
    <w:rsid w:val="004D3CD4"/>
    <w:rsid w:val="004E11F4"/>
    <w:rsid w:val="004E3657"/>
    <w:rsid w:val="004F2DFE"/>
    <w:rsid w:val="004F7588"/>
    <w:rsid w:val="004F7BCB"/>
    <w:rsid w:val="005014C9"/>
    <w:rsid w:val="00502A16"/>
    <w:rsid w:val="00505EE7"/>
    <w:rsid w:val="00505F89"/>
    <w:rsid w:val="005060AE"/>
    <w:rsid w:val="005154D6"/>
    <w:rsid w:val="005164C5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70C4E"/>
    <w:rsid w:val="005820AB"/>
    <w:rsid w:val="005820F6"/>
    <w:rsid w:val="00585C9B"/>
    <w:rsid w:val="0059007B"/>
    <w:rsid w:val="0059049B"/>
    <w:rsid w:val="005963E3"/>
    <w:rsid w:val="0059719D"/>
    <w:rsid w:val="005A0BB0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07260"/>
    <w:rsid w:val="0061304D"/>
    <w:rsid w:val="00613751"/>
    <w:rsid w:val="00615A2E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0DB8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33F5"/>
    <w:rsid w:val="0067429D"/>
    <w:rsid w:val="00674D5B"/>
    <w:rsid w:val="00677FBB"/>
    <w:rsid w:val="00680313"/>
    <w:rsid w:val="00683643"/>
    <w:rsid w:val="00690C20"/>
    <w:rsid w:val="00692937"/>
    <w:rsid w:val="00693886"/>
    <w:rsid w:val="00693B27"/>
    <w:rsid w:val="00694655"/>
    <w:rsid w:val="00697AAA"/>
    <w:rsid w:val="006A05BE"/>
    <w:rsid w:val="006A738B"/>
    <w:rsid w:val="006B1331"/>
    <w:rsid w:val="006B3886"/>
    <w:rsid w:val="006B72E4"/>
    <w:rsid w:val="006C06A6"/>
    <w:rsid w:val="006C688A"/>
    <w:rsid w:val="006C7C3F"/>
    <w:rsid w:val="006D0E22"/>
    <w:rsid w:val="006D28CE"/>
    <w:rsid w:val="006D3958"/>
    <w:rsid w:val="006E1FE7"/>
    <w:rsid w:val="006E61FC"/>
    <w:rsid w:val="006F129E"/>
    <w:rsid w:val="006F4B52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47E91"/>
    <w:rsid w:val="007600A7"/>
    <w:rsid w:val="00761173"/>
    <w:rsid w:val="0077477C"/>
    <w:rsid w:val="007818A0"/>
    <w:rsid w:val="00782185"/>
    <w:rsid w:val="00783E7F"/>
    <w:rsid w:val="00785073"/>
    <w:rsid w:val="007857D6"/>
    <w:rsid w:val="00791A98"/>
    <w:rsid w:val="00791AF4"/>
    <w:rsid w:val="00791EE0"/>
    <w:rsid w:val="00796EC8"/>
    <w:rsid w:val="007979E8"/>
    <w:rsid w:val="007A0E5B"/>
    <w:rsid w:val="007A1563"/>
    <w:rsid w:val="007A61B1"/>
    <w:rsid w:val="007B05C9"/>
    <w:rsid w:val="007B26D1"/>
    <w:rsid w:val="007B3359"/>
    <w:rsid w:val="007B33B8"/>
    <w:rsid w:val="007B3548"/>
    <w:rsid w:val="007B4969"/>
    <w:rsid w:val="007B771A"/>
    <w:rsid w:val="007C32E3"/>
    <w:rsid w:val="007C3519"/>
    <w:rsid w:val="007C41AF"/>
    <w:rsid w:val="007D429A"/>
    <w:rsid w:val="007D4635"/>
    <w:rsid w:val="007D58AC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772A"/>
    <w:rsid w:val="00831D18"/>
    <w:rsid w:val="0083249A"/>
    <w:rsid w:val="0083331E"/>
    <w:rsid w:val="008335A7"/>
    <w:rsid w:val="00833925"/>
    <w:rsid w:val="0083493D"/>
    <w:rsid w:val="008365F6"/>
    <w:rsid w:val="00850DDC"/>
    <w:rsid w:val="00851DE9"/>
    <w:rsid w:val="00853972"/>
    <w:rsid w:val="0085398A"/>
    <w:rsid w:val="0085496B"/>
    <w:rsid w:val="00860D30"/>
    <w:rsid w:val="008640FE"/>
    <w:rsid w:val="00864FFA"/>
    <w:rsid w:val="0086555C"/>
    <w:rsid w:val="00866E61"/>
    <w:rsid w:val="00866FB2"/>
    <w:rsid w:val="00867ECA"/>
    <w:rsid w:val="00870DED"/>
    <w:rsid w:val="00872591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4B31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386"/>
    <w:rsid w:val="00957C8C"/>
    <w:rsid w:val="00962996"/>
    <w:rsid w:val="00962CB1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374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0815"/>
    <w:rsid w:val="009B3CD6"/>
    <w:rsid w:val="009B66E4"/>
    <w:rsid w:val="009C46A9"/>
    <w:rsid w:val="009C5591"/>
    <w:rsid w:val="009C6AEA"/>
    <w:rsid w:val="009C7ADB"/>
    <w:rsid w:val="009D10F2"/>
    <w:rsid w:val="009D54F3"/>
    <w:rsid w:val="009E10B0"/>
    <w:rsid w:val="009E1C10"/>
    <w:rsid w:val="009E4EA4"/>
    <w:rsid w:val="009F34B7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79C"/>
    <w:rsid w:val="00A2593F"/>
    <w:rsid w:val="00A26A06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B8"/>
    <w:rsid w:val="00A504D7"/>
    <w:rsid w:val="00A50643"/>
    <w:rsid w:val="00A55266"/>
    <w:rsid w:val="00A61570"/>
    <w:rsid w:val="00A64C4A"/>
    <w:rsid w:val="00A71819"/>
    <w:rsid w:val="00A7292E"/>
    <w:rsid w:val="00A72E31"/>
    <w:rsid w:val="00A8003B"/>
    <w:rsid w:val="00A81F4F"/>
    <w:rsid w:val="00A8236A"/>
    <w:rsid w:val="00A82924"/>
    <w:rsid w:val="00A831F7"/>
    <w:rsid w:val="00A91AAD"/>
    <w:rsid w:val="00A91C76"/>
    <w:rsid w:val="00A92045"/>
    <w:rsid w:val="00A948AE"/>
    <w:rsid w:val="00A95139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2B69"/>
    <w:rsid w:val="00B0678B"/>
    <w:rsid w:val="00B070E9"/>
    <w:rsid w:val="00B116EF"/>
    <w:rsid w:val="00B20CFD"/>
    <w:rsid w:val="00B25578"/>
    <w:rsid w:val="00B25595"/>
    <w:rsid w:val="00B2763C"/>
    <w:rsid w:val="00B3366F"/>
    <w:rsid w:val="00B3553E"/>
    <w:rsid w:val="00B46A2B"/>
    <w:rsid w:val="00B5114C"/>
    <w:rsid w:val="00B53C70"/>
    <w:rsid w:val="00B566EE"/>
    <w:rsid w:val="00B60F36"/>
    <w:rsid w:val="00B7082C"/>
    <w:rsid w:val="00B70859"/>
    <w:rsid w:val="00B740FF"/>
    <w:rsid w:val="00B745E2"/>
    <w:rsid w:val="00B75E86"/>
    <w:rsid w:val="00B7618D"/>
    <w:rsid w:val="00B82D81"/>
    <w:rsid w:val="00B841C2"/>
    <w:rsid w:val="00B92ACA"/>
    <w:rsid w:val="00B96F23"/>
    <w:rsid w:val="00BA599E"/>
    <w:rsid w:val="00BA66D0"/>
    <w:rsid w:val="00BA758B"/>
    <w:rsid w:val="00BB0CA4"/>
    <w:rsid w:val="00BB35EC"/>
    <w:rsid w:val="00BB44E2"/>
    <w:rsid w:val="00BB4D44"/>
    <w:rsid w:val="00BB6BCD"/>
    <w:rsid w:val="00BD285A"/>
    <w:rsid w:val="00BD53D7"/>
    <w:rsid w:val="00BD578D"/>
    <w:rsid w:val="00BD6BD1"/>
    <w:rsid w:val="00BD6DFA"/>
    <w:rsid w:val="00BD77B3"/>
    <w:rsid w:val="00BE1A11"/>
    <w:rsid w:val="00BE5C8E"/>
    <w:rsid w:val="00BE700B"/>
    <w:rsid w:val="00BF0714"/>
    <w:rsid w:val="00BF0F0D"/>
    <w:rsid w:val="00BF2263"/>
    <w:rsid w:val="00BF5D9C"/>
    <w:rsid w:val="00BF77B0"/>
    <w:rsid w:val="00BF7882"/>
    <w:rsid w:val="00C02961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205B4"/>
    <w:rsid w:val="00C215A2"/>
    <w:rsid w:val="00C21737"/>
    <w:rsid w:val="00C22ED0"/>
    <w:rsid w:val="00C2457B"/>
    <w:rsid w:val="00C2653A"/>
    <w:rsid w:val="00C32261"/>
    <w:rsid w:val="00C32A1A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BA1"/>
    <w:rsid w:val="00C752A0"/>
    <w:rsid w:val="00C77F4C"/>
    <w:rsid w:val="00C83C71"/>
    <w:rsid w:val="00C84328"/>
    <w:rsid w:val="00C84709"/>
    <w:rsid w:val="00C85E71"/>
    <w:rsid w:val="00C912B0"/>
    <w:rsid w:val="00CA0423"/>
    <w:rsid w:val="00CA1F00"/>
    <w:rsid w:val="00CA2E0C"/>
    <w:rsid w:val="00CB14FA"/>
    <w:rsid w:val="00CB15CC"/>
    <w:rsid w:val="00CB21D8"/>
    <w:rsid w:val="00CB676B"/>
    <w:rsid w:val="00CC6C6A"/>
    <w:rsid w:val="00CD130E"/>
    <w:rsid w:val="00CD2555"/>
    <w:rsid w:val="00CD2AB1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10A8"/>
    <w:rsid w:val="00D415EE"/>
    <w:rsid w:val="00D41E60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0494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3146"/>
    <w:rsid w:val="00E63564"/>
    <w:rsid w:val="00E70CC3"/>
    <w:rsid w:val="00E71352"/>
    <w:rsid w:val="00E7613D"/>
    <w:rsid w:val="00E77649"/>
    <w:rsid w:val="00E86EBF"/>
    <w:rsid w:val="00E940D9"/>
    <w:rsid w:val="00E95106"/>
    <w:rsid w:val="00EA02AD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3E79"/>
    <w:rsid w:val="00EC4A0E"/>
    <w:rsid w:val="00EC54EA"/>
    <w:rsid w:val="00EC7A22"/>
    <w:rsid w:val="00ED5588"/>
    <w:rsid w:val="00EE38D2"/>
    <w:rsid w:val="00EE4A31"/>
    <w:rsid w:val="00EE5CE2"/>
    <w:rsid w:val="00EE7388"/>
    <w:rsid w:val="00F035A9"/>
    <w:rsid w:val="00F038B8"/>
    <w:rsid w:val="00F045B6"/>
    <w:rsid w:val="00F11838"/>
    <w:rsid w:val="00F1321A"/>
    <w:rsid w:val="00F1525B"/>
    <w:rsid w:val="00F161EB"/>
    <w:rsid w:val="00F268BF"/>
    <w:rsid w:val="00F30F4D"/>
    <w:rsid w:val="00F30FC0"/>
    <w:rsid w:val="00F34D5A"/>
    <w:rsid w:val="00F50E36"/>
    <w:rsid w:val="00F525E6"/>
    <w:rsid w:val="00F53618"/>
    <w:rsid w:val="00F56768"/>
    <w:rsid w:val="00F6775B"/>
    <w:rsid w:val="00F70B36"/>
    <w:rsid w:val="00F74EEC"/>
    <w:rsid w:val="00F776D3"/>
    <w:rsid w:val="00F840E0"/>
    <w:rsid w:val="00F86055"/>
    <w:rsid w:val="00F87028"/>
    <w:rsid w:val="00F92B55"/>
    <w:rsid w:val="00F93620"/>
    <w:rsid w:val="00F93D64"/>
    <w:rsid w:val="00F96527"/>
    <w:rsid w:val="00F972AF"/>
    <w:rsid w:val="00F97D7B"/>
    <w:rsid w:val="00FA15D4"/>
    <w:rsid w:val="00FA6037"/>
    <w:rsid w:val="00FA64CF"/>
    <w:rsid w:val="00FA7A4C"/>
    <w:rsid w:val="00FB2245"/>
    <w:rsid w:val="00FB2915"/>
    <w:rsid w:val="00FB5599"/>
    <w:rsid w:val="00FB5F37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56F3-F00E-49E3-961E-1177685E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аааааааааааааааааааа</cp:lastModifiedBy>
  <cp:revision>218</cp:revision>
  <dcterms:created xsi:type="dcterms:W3CDTF">2022-11-02T08:53:00Z</dcterms:created>
  <dcterms:modified xsi:type="dcterms:W3CDTF">2022-11-18T04:32:00Z</dcterms:modified>
</cp:coreProperties>
</file>