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8E5A8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46090E">
        <w:rPr>
          <w:rFonts w:ascii="Times New Roman" w:hAnsi="Times New Roman" w:cs="Times New Roman"/>
          <w:b/>
          <w:sz w:val="28"/>
          <w:szCs w:val="28"/>
        </w:rPr>
        <w:t>3</w:t>
      </w:r>
    </w:p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3B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 w:rsidRPr="008E5A8F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203296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закупа способом из одного источника в связи с</w:t>
      </w:r>
      <w:r w:rsidR="00203296" w:rsidRPr="00203296">
        <w:rPr>
          <w:sz w:val="28"/>
          <w:szCs w:val="28"/>
        </w:rPr>
        <w:t xml:space="preserve"> </w:t>
      </w:r>
      <w:r w:rsidR="00203296">
        <w:rPr>
          <w:sz w:val="28"/>
          <w:szCs w:val="28"/>
        </w:rPr>
        <w:t>тем что,</w:t>
      </w:r>
      <w:r>
        <w:rPr>
          <w:sz w:val="28"/>
          <w:szCs w:val="28"/>
        </w:rPr>
        <w:t xml:space="preserve"> </w:t>
      </w:r>
      <w:r w:rsidR="00203296" w:rsidRPr="00203296">
        <w:rPr>
          <w:sz w:val="28"/>
          <w:szCs w:val="28"/>
        </w:rPr>
        <w:t>имеется необходимость в осуществлении закупа до шестидесятидневной потребности</w:t>
      </w:r>
      <w:bookmarkStart w:id="0" w:name="_GoBack"/>
      <w:bookmarkEnd w:id="0"/>
      <w:r>
        <w:rPr>
          <w:sz w:val="28"/>
          <w:szCs w:val="28"/>
        </w:rPr>
        <w:t xml:space="preserve">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4502C0">
        <w:rPr>
          <w:sz w:val="28"/>
          <w:szCs w:val="28"/>
        </w:rPr>
        <w:t>8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804"/>
        <w:gridCol w:w="1271"/>
        <w:gridCol w:w="981"/>
        <w:gridCol w:w="1174"/>
        <w:gridCol w:w="1750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DE2C69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692CF5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Семиклотин</w:t>
            </w:r>
            <w:proofErr w:type="spellEnd"/>
            <w:r w:rsidRPr="0069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2,4 мг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692CF5" w:rsidRDefault="00692CF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внутривенного введения в комплекте с растворителем (вода для инъекций) 2,4 мг, флакон №1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692CF5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692CF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692CF5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200 737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692CF5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401 474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692CF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401 474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,00 (</w:t>
      </w:r>
      <w:r w:rsidR="00692CF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четыреста одна тысяча четыреста семьдесят четыре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A0523B" w:rsidP="00A0523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71D13">
        <w:rPr>
          <w:sz w:val="28"/>
          <w:szCs w:val="28"/>
        </w:rPr>
        <w:t>ТОО</w:t>
      </w:r>
      <w:r w:rsidRPr="00571D13">
        <w:rPr>
          <w:sz w:val="28"/>
          <w:szCs w:val="28"/>
          <w:lang w:val="en-US"/>
        </w:rPr>
        <w:t xml:space="preserve"> </w:t>
      </w:r>
      <w:r w:rsidR="00571D13" w:rsidRPr="00571D13">
        <w:rPr>
          <w:spacing w:val="2"/>
          <w:sz w:val="28"/>
          <w:szCs w:val="28"/>
          <w:lang w:val="en-US"/>
        </w:rPr>
        <w:t>«</w:t>
      </w:r>
      <w:r w:rsidR="004502C0">
        <w:rPr>
          <w:sz w:val="28"/>
          <w:szCs w:val="28"/>
        </w:rPr>
        <w:t>Карагандинский фармацевтический комплекс</w:t>
      </w:r>
      <w:r w:rsidRPr="00571D13">
        <w:rPr>
          <w:sz w:val="28"/>
          <w:szCs w:val="28"/>
          <w:lang w:val="en-US"/>
        </w:rPr>
        <w:t xml:space="preserve">» 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4502C0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котором</w:t>
      </w:r>
      <w:proofErr w:type="gramEnd"/>
      <w:r>
        <w:rPr>
          <w:b/>
          <w:sz w:val="28"/>
          <w:szCs w:val="28"/>
        </w:rPr>
        <w:t xml:space="preserve">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052FE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>
        <w:rPr>
          <w:sz w:val="28"/>
          <w:szCs w:val="28"/>
        </w:rPr>
        <w:t>ТОО «</w:t>
      </w:r>
      <w:r w:rsidR="004502C0">
        <w:rPr>
          <w:sz w:val="28"/>
          <w:szCs w:val="28"/>
        </w:rPr>
        <w:t>Карагандинский фармацевтический комплекс</w:t>
      </w:r>
      <w:r>
        <w:rPr>
          <w:sz w:val="28"/>
          <w:szCs w:val="28"/>
        </w:rPr>
        <w:t xml:space="preserve">» адрес: </w:t>
      </w:r>
      <w:r w:rsidR="00571D13" w:rsidRPr="00571D13">
        <w:rPr>
          <w:sz w:val="28"/>
          <w:szCs w:val="28"/>
        </w:rPr>
        <w:t xml:space="preserve">г. Алматы, </w:t>
      </w:r>
      <w:proofErr w:type="spellStart"/>
      <w:r w:rsidR="004502C0">
        <w:rPr>
          <w:sz w:val="28"/>
          <w:szCs w:val="28"/>
        </w:rPr>
        <w:t>Газалиева</w:t>
      </w:r>
      <w:proofErr w:type="spellEnd"/>
      <w:r w:rsidR="004502C0">
        <w:rPr>
          <w:sz w:val="28"/>
          <w:szCs w:val="28"/>
        </w:rPr>
        <w:t xml:space="preserve"> 16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>
        <w:rPr>
          <w:spacing w:val="2"/>
          <w:sz w:val="28"/>
          <w:szCs w:val="28"/>
        </w:rPr>
        <w:t xml:space="preserve"> </w:t>
      </w:r>
      <w:r w:rsidR="004502C0">
        <w:rPr>
          <w:b/>
          <w:spacing w:val="2"/>
          <w:sz w:val="28"/>
          <w:szCs w:val="28"/>
        </w:rPr>
        <w:t>401 474</w:t>
      </w:r>
      <w:r w:rsidRPr="00571D13">
        <w:rPr>
          <w:b/>
          <w:sz w:val="28"/>
          <w:szCs w:val="28"/>
        </w:rPr>
        <w:t>,00 (</w:t>
      </w:r>
      <w:bookmarkStart w:id="1" w:name="z479"/>
      <w:bookmarkEnd w:id="1"/>
      <w:r w:rsidR="004502C0">
        <w:rPr>
          <w:b/>
          <w:sz w:val="28"/>
          <w:szCs w:val="28"/>
        </w:rPr>
        <w:t>четыреста одна тысяча четыреста семьдесят четыре</w:t>
      </w:r>
      <w:r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Pr="00571D13">
        <w:rPr>
          <w:b/>
          <w:spacing w:val="2"/>
          <w:sz w:val="28"/>
          <w:szCs w:val="28"/>
        </w:rPr>
        <w:t>тиын</w:t>
      </w:r>
      <w:proofErr w:type="spellEnd"/>
      <w:r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</w:tbl>
    <w:p w:rsidR="00AD7591" w:rsidRDefault="00AD7591" w:rsidP="00AD7591">
      <w:r>
        <w:t xml:space="preserve"> 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52FE5"/>
    <w:rsid w:val="000A5601"/>
    <w:rsid w:val="00203296"/>
    <w:rsid w:val="003D36F5"/>
    <w:rsid w:val="004502C0"/>
    <w:rsid w:val="0046090E"/>
    <w:rsid w:val="00571D13"/>
    <w:rsid w:val="00592F17"/>
    <w:rsid w:val="00692CF5"/>
    <w:rsid w:val="00731785"/>
    <w:rsid w:val="00870888"/>
    <w:rsid w:val="008E5A8F"/>
    <w:rsid w:val="0097504F"/>
    <w:rsid w:val="00A0523B"/>
    <w:rsid w:val="00A3745E"/>
    <w:rsid w:val="00A4707F"/>
    <w:rsid w:val="00AD7591"/>
    <w:rsid w:val="00B22A38"/>
    <w:rsid w:val="00BF05D5"/>
    <w:rsid w:val="00D11C37"/>
    <w:rsid w:val="00DE2C69"/>
    <w:rsid w:val="00F30A74"/>
    <w:rsid w:val="00F33BE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IQCOMPUTER</cp:lastModifiedBy>
  <cp:revision>14</cp:revision>
  <cp:lastPrinted>2021-01-11T10:18:00Z</cp:lastPrinted>
  <dcterms:created xsi:type="dcterms:W3CDTF">2020-11-13T04:07:00Z</dcterms:created>
  <dcterms:modified xsi:type="dcterms:W3CDTF">2021-06-11T05:43:00Z</dcterms:modified>
</cp:coreProperties>
</file>