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84CC6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B3746E">
        <w:rPr>
          <w:spacing w:val="2"/>
        </w:rPr>
        <w:t xml:space="preserve"> запроса ценовых предложений №6</w:t>
      </w:r>
      <w:r w:rsidR="00084CC6">
        <w:rPr>
          <w:spacing w:val="2"/>
        </w:rPr>
        <w:t>5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047"/>
        <w:gridCol w:w="6338"/>
        <w:gridCol w:w="1246"/>
        <w:gridCol w:w="993"/>
        <w:gridCol w:w="1488"/>
        <w:gridCol w:w="1897"/>
      </w:tblGrid>
      <w:tr w:rsidR="00155DDC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047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8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781ECD" w:rsidRDefault="00325B45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2B5FDD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2B5FDD" w:rsidRPr="00781ECD" w:rsidRDefault="00084CC6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2B5FDD" w:rsidRPr="00781ECD" w:rsidRDefault="0092767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Простыня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B368D4" w:rsidRDefault="00956270" w:rsidP="00B368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72E87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дноразовая, </w:t>
            </w:r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Start"/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E87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размер 80х100, </w:t>
            </w: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Плотность 40</w:t>
            </w:r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гр, </w:t>
            </w:r>
          </w:p>
          <w:p w:rsidR="002B5FDD" w:rsidRPr="00781ECD" w:rsidRDefault="00927671" w:rsidP="00B368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в рулоне 50метров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B5FDD" w:rsidRPr="00781ECD" w:rsidRDefault="0096466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B5FDD" w:rsidRPr="00781ECD" w:rsidRDefault="0096466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B5FDD" w:rsidRPr="00781ECD" w:rsidRDefault="001373FC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2B5FDD" w:rsidRPr="00781ECD" w:rsidRDefault="001373FC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120 000,00</w:t>
            </w:r>
          </w:p>
        </w:tc>
      </w:tr>
      <w:tr w:rsidR="00F443CE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F443CE" w:rsidRPr="00781ECD" w:rsidRDefault="00084CC6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F443CE" w:rsidRPr="00515817" w:rsidRDefault="00992489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Рокурония бромид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F443CE" w:rsidRPr="00515817" w:rsidRDefault="00992489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8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50мг/5мл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F443CE" w:rsidRPr="00781ECD" w:rsidRDefault="00992489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443CE" w:rsidRPr="00781ECD" w:rsidRDefault="00992489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992489" w:rsidRPr="00781ECD" w:rsidRDefault="00992489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1252,21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F443CE" w:rsidRPr="00781ECD" w:rsidRDefault="00992489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125 221,00</w:t>
            </w:r>
          </w:p>
        </w:tc>
      </w:tr>
      <w:tr w:rsidR="005A4D73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5A4D73" w:rsidRDefault="005A4D73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7D40B2" w:rsidRPr="007D40B2" w:rsidRDefault="007D40B2" w:rsidP="007D4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Игла спинальная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25 G, длина  115 мм с иглой-</w:t>
            </w:r>
            <w:proofErr w:type="spellStart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 20G.</w:t>
            </w:r>
          </w:p>
          <w:p w:rsidR="005A4D73" w:rsidRPr="007D40B2" w:rsidRDefault="005A4D73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shd w:val="clear" w:color="000000" w:fill="FFFFFF"/>
            <w:vAlign w:val="center"/>
          </w:tcPr>
          <w:p w:rsidR="005A4D73" w:rsidRPr="00515817" w:rsidRDefault="007D40B2" w:rsidP="005943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Игла спинальная с </w:t>
            </w:r>
            <w:proofErr w:type="spellStart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, размер  25G. С </w:t>
            </w:r>
            <w:r w:rsidR="00594329" w:rsidRPr="007D40B2">
              <w:rPr>
                <w:rFonts w:ascii="Times New Roman" w:hAnsi="Times New Roman" w:cs="Times New Roman"/>
                <w:sz w:val="20"/>
                <w:szCs w:val="20"/>
              </w:rPr>
              <w:t>обтуратором. Тип</w:t>
            </w:r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 заточки «карандаш» для обеспечения профилактики </w:t>
            </w:r>
            <w:r w:rsidR="00594329" w:rsidRPr="007D40B2">
              <w:rPr>
                <w:rFonts w:ascii="Times New Roman" w:hAnsi="Times New Roman" w:cs="Times New Roman"/>
                <w:sz w:val="20"/>
                <w:szCs w:val="20"/>
              </w:rPr>
              <w:t>пост пункционных</w:t>
            </w:r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 головных болей. Угол заточки не более 30 градусов для обеспечения минимальных усилий во время пункции. Длина не менее 115 мм. Внутренний диаметр иглы не менее 0.34 мм с химической полировкой внутреннего канала, для обеспечения быстрого появления обратного тока ликвора во время пункции и низкого сопротивления при введении местного анестетика. Расстояние от кончика иглы до начала бокового отверстия не менее 1.25 мм с целью обеспечения большей прочности острия иглы и предотвращения его деформации при случайном контакте с костью. Длина бокового отверстия (по внутренним краям) не более 0.70 мм для предотвращения одновременного введения </w:t>
            </w:r>
            <w:proofErr w:type="gramStart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анестетика</w:t>
            </w:r>
            <w:proofErr w:type="gramEnd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 как в субарахноидальное, так и в </w:t>
            </w:r>
            <w:proofErr w:type="spellStart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эпидуральное</w:t>
            </w:r>
            <w:proofErr w:type="spellEnd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и развития частичного блока. Толщина иглы под краем бокового отверстия не менее 0.35 мм для сохранения жесткости иглы, предотвращения случайного захвата и переноса тканей в субарахноидальное пространство, предотвращения разрыва волокон твердой мозговой оболочки краями отверстия. Игла-</w:t>
            </w:r>
            <w:proofErr w:type="spellStart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>интродьюсер</w:t>
            </w:r>
            <w:proofErr w:type="spellEnd"/>
            <w:r w:rsidRPr="007D40B2">
              <w:rPr>
                <w:rFonts w:ascii="Times New Roman" w:hAnsi="Times New Roman" w:cs="Times New Roman"/>
                <w:sz w:val="20"/>
                <w:szCs w:val="20"/>
              </w:rPr>
              <w:t xml:space="preserve"> 20G, наружный диаметр 0,9 мм, длина рабочей части 38 мм. 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3069F6" w:rsidRDefault="003069F6" w:rsidP="003069F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A4D73" w:rsidRDefault="003069F6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A4D73" w:rsidRDefault="003069F6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A4D73" w:rsidRDefault="003069F6" w:rsidP="0051581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850 000,00</w:t>
            </w:r>
          </w:p>
        </w:tc>
      </w:tr>
      <w:tr w:rsidR="002E5EBF" w:rsidRPr="00781ECD" w:rsidTr="00781ECD">
        <w:trPr>
          <w:trHeight w:val="367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047" w:type="dxa"/>
            <w:shd w:val="clear" w:color="000000" w:fill="FFFFFF"/>
            <w:vAlign w:val="center"/>
          </w:tcPr>
          <w:p w:rsidR="002E5EBF" w:rsidRPr="00781ECD" w:rsidRDefault="002E5EBF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338" w:type="dxa"/>
            <w:shd w:val="clear" w:color="000000" w:fill="FFFFFF"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E5EBF" w:rsidRPr="00781ECD" w:rsidRDefault="002E5EBF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2E5EBF" w:rsidRPr="00781ECD" w:rsidRDefault="00594329" w:rsidP="00781E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1 095 221</w:t>
            </w:r>
            <w:r w:rsidR="00A96CCC" w:rsidRPr="00A96C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lastRenderedPageBreak/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</w:t>
      </w:r>
      <w:r w:rsidR="00155DDC" w:rsidRPr="005943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поставки товаров: </w:t>
      </w:r>
      <w:r w:rsidR="00155DDC" w:rsidRPr="005943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594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>Достык</w:t>
      </w:r>
      <w:proofErr w:type="spellEnd"/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</w:t>
      </w:r>
      <w:bookmarkStart w:id="0" w:name="_GoBack"/>
      <w:bookmarkEnd w:id="0"/>
      <w:r w:rsidRPr="00297A24">
        <w:rPr>
          <w:rStyle w:val="s0"/>
          <w:color w:val="auto"/>
          <w:sz w:val="24"/>
          <w:szCs w:val="24"/>
        </w:rPr>
        <w:t>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lastRenderedPageBreak/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9E" w:rsidRDefault="007A459E" w:rsidP="0082634C">
      <w:pPr>
        <w:spacing w:after="0" w:line="240" w:lineRule="auto"/>
      </w:pPr>
      <w:r>
        <w:separator/>
      </w:r>
    </w:p>
  </w:endnote>
  <w:endnote w:type="continuationSeparator" w:id="0">
    <w:p w:rsidR="007A459E" w:rsidRDefault="007A459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9E" w:rsidRDefault="007A459E" w:rsidP="0082634C">
      <w:pPr>
        <w:spacing w:after="0" w:line="240" w:lineRule="auto"/>
      </w:pPr>
      <w:r>
        <w:separator/>
      </w:r>
    </w:p>
  </w:footnote>
  <w:footnote w:type="continuationSeparator" w:id="0">
    <w:p w:rsidR="007A459E" w:rsidRDefault="007A459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3520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4CC6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693F"/>
    <w:rsid w:val="00297A24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069F6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52A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BCC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1DC4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4FD5"/>
    <w:rsid w:val="005154D6"/>
    <w:rsid w:val="00515817"/>
    <w:rsid w:val="005164C5"/>
    <w:rsid w:val="00532009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4329"/>
    <w:rsid w:val="005963E3"/>
    <w:rsid w:val="0059719D"/>
    <w:rsid w:val="005A0F61"/>
    <w:rsid w:val="005A16B2"/>
    <w:rsid w:val="005A3B5F"/>
    <w:rsid w:val="005A4CFA"/>
    <w:rsid w:val="005A4D73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2075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75B04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1ECD"/>
    <w:rsid w:val="00782185"/>
    <w:rsid w:val="00783E7F"/>
    <w:rsid w:val="00785073"/>
    <w:rsid w:val="007857D6"/>
    <w:rsid w:val="00785B88"/>
    <w:rsid w:val="00791A98"/>
    <w:rsid w:val="00791AF4"/>
    <w:rsid w:val="00791EE0"/>
    <w:rsid w:val="00796EC8"/>
    <w:rsid w:val="007A0E5B"/>
    <w:rsid w:val="007A1563"/>
    <w:rsid w:val="007A459E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0B2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199D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489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1F05"/>
    <w:rsid w:val="009D54F3"/>
    <w:rsid w:val="009E1C10"/>
    <w:rsid w:val="009E4EA4"/>
    <w:rsid w:val="009F539A"/>
    <w:rsid w:val="009F63E4"/>
    <w:rsid w:val="009F7C09"/>
    <w:rsid w:val="00A00E47"/>
    <w:rsid w:val="00A01FB8"/>
    <w:rsid w:val="00A03AA1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6CC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368D4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372F6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5761D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6588D"/>
    <w:rsid w:val="00E70CC3"/>
    <w:rsid w:val="00E71352"/>
    <w:rsid w:val="00E7613D"/>
    <w:rsid w:val="00E77649"/>
    <w:rsid w:val="00E86EBF"/>
    <w:rsid w:val="00E940D9"/>
    <w:rsid w:val="00E95106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2F8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02FD-E6F5-491C-8FBD-B7E6BC8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248</cp:revision>
  <dcterms:created xsi:type="dcterms:W3CDTF">2022-11-02T08:53:00Z</dcterms:created>
  <dcterms:modified xsi:type="dcterms:W3CDTF">2022-12-05T08:32:00Z</dcterms:modified>
</cp:coreProperties>
</file>